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heme="minorBidi"/>
          <w:kern w:val="2"/>
          <w:sz w:val="21"/>
          <w:szCs w:val="24"/>
          <w:lang w:val="en-US" w:eastAsia="zh-CN" w:bidi="ar-SA"/>
        </w:rPr>
        <w:id w:val="147462322"/>
        <w15:color w:val="DBDBDB"/>
        <w:docPartObj>
          <w:docPartGallery w:val="Table of Contents"/>
          <w:docPartUnique/>
        </w:docPartObj>
      </w:sdtPr>
      <w:sdtEndPr>
        <w:rPr>
          <w:b/>
        </w:rPr>
      </w:sdtEndPr>
      <w:sdtContent>
        <w:p>
          <w:pPr>
            <w:spacing w:before="0" w:beforeLines="0" w:after="0" w:afterLines="0" w:line="240" w:lineRule="auto"/>
            <w:ind w:left="0" w:leftChars="0" w:right="0" w:rightChars="0" w:firstLine="0" w:firstLineChars="0"/>
            <w:jc w:val="center"/>
            <w:rPr>
              <w:rFonts w:hint="eastAsia" w:ascii="微软雅黑" w:hAnsi="微软雅黑" w:eastAsia="微软雅黑" w:cs="微软雅黑"/>
              <w:b w:val="0"/>
              <w:bCs w:val="0"/>
              <w:sz w:val="28"/>
              <w:szCs w:val="28"/>
            </w:rPr>
          </w:pPr>
          <w:bookmarkStart w:id="38" w:name="_GoBack"/>
          <w:bookmarkEnd w:id="38"/>
          <w:r>
            <w:rPr>
              <w:rFonts w:hint="eastAsia" w:ascii="微软雅黑" w:hAnsi="微软雅黑" w:eastAsia="微软雅黑" w:cs="微软雅黑"/>
              <w:b w:val="0"/>
              <w:bCs w:val="0"/>
              <w:sz w:val="28"/>
              <w:szCs w:val="28"/>
            </w:rPr>
            <w:t>目录</w:t>
          </w:r>
        </w:p>
        <w:p>
          <w:pPr>
            <w:pStyle w:val="11"/>
            <w:tabs>
              <w:tab w:val="right" w:leader="dot" w:pos="9072"/>
            </w:tabs>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TOC \o "1-2" \h \u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HYPERLINK \l _Toc233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普洛斯济南天桥冷链及供应链管理项目</w:t>
          </w:r>
          <w:r>
            <w:rPr>
              <w:rFonts w:hint="eastAsia" w:ascii="微软雅黑" w:hAnsi="微软雅黑" w:eastAsia="微软雅黑" w:cs="微软雅黑"/>
              <w:b w:val="0"/>
              <w:bCs w:val="0"/>
              <w:sz w:val="28"/>
              <w:szCs w:val="28"/>
            </w:rPr>
            <w:tab/>
          </w: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PAGEREF _Toc233 \h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1</w:t>
          </w:r>
          <w:r>
            <w:rPr>
              <w:rFonts w:hint="eastAsia" w:ascii="微软雅黑" w:hAnsi="微软雅黑" w:eastAsia="微软雅黑" w:cs="微软雅黑"/>
              <w:b w:val="0"/>
              <w:bCs w:val="0"/>
              <w:sz w:val="28"/>
              <w:szCs w:val="28"/>
            </w:rPr>
            <w:fldChar w:fldCharType="end"/>
          </w:r>
          <w:r>
            <w:rPr>
              <w:rFonts w:hint="eastAsia" w:ascii="微软雅黑" w:hAnsi="微软雅黑" w:eastAsia="微软雅黑" w:cs="微软雅黑"/>
              <w:b w:val="0"/>
              <w:bCs w:val="0"/>
              <w:sz w:val="28"/>
              <w:szCs w:val="28"/>
            </w:rPr>
            <w:fldChar w:fldCharType="end"/>
          </w:r>
        </w:p>
        <w:p>
          <w:pPr>
            <w:pStyle w:val="11"/>
            <w:tabs>
              <w:tab w:val="right" w:leader="dot" w:pos="9072"/>
            </w:tabs>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HYPERLINK \l _Toc3773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一、项目名称</w:t>
          </w:r>
          <w:r>
            <w:rPr>
              <w:rFonts w:hint="eastAsia" w:ascii="微软雅黑" w:hAnsi="微软雅黑" w:eastAsia="微软雅黑" w:cs="微软雅黑"/>
              <w:b w:val="0"/>
              <w:bCs w:val="0"/>
              <w:sz w:val="28"/>
              <w:szCs w:val="28"/>
            </w:rPr>
            <w:tab/>
          </w: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PAGEREF _Toc3773 \h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1</w:t>
          </w:r>
          <w:r>
            <w:rPr>
              <w:rFonts w:hint="eastAsia" w:ascii="微软雅黑" w:hAnsi="微软雅黑" w:eastAsia="微软雅黑" w:cs="微软雅黑"/>
              <w:b w:val="0"/>
              <w:bCs w:val="0"/>
              <w:sz w:val="28"/>
              <w:szCs w:val="28"/>
            </w:rPr>
            <w:fldChar w:fldCharType="end"/>
          </w:r>
          <w:r>
            <w:rPr>
              <w:rFonts w:hint="eastAsia" w:ascii="微软雅黑" w:hAnsi="微软雅黑" w:eastAsia="微软雅黑" w:cs="微软雅黑"/>
              <w:b w:val="0"/>
              <w:bCs w:val="0"/>
              <w:sz w:val="28"/>
              <w:szCs w:val="28"/>
            </w:rPr>
            <w:fldChar w:fldCharType="end"/>
          </w:r>
        </w:p>
        <w:p>
          <w:pPr>
            <w:pStyle w:val="11"/>
            <w:tabs>
              <w:tab w:val="right" w:leader="dot" w:pos="9072"/>
            </w:tabs>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HYPERLINK \l _Toc11678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三、产业发展基础或定位</w:t>
          </w:r>
          <w:r>
            <w:rPr>
              <w:rFonts w:hint="eastAsia" w:ascii="微软雅黑" w:hAnsi="微软雅黑" w:eastAsia="微软雅黑" w:cs="微软雅黑"/>
              <w:b w:val="0"/>
              <w:bCs w:val="0"/>
              <w:sz w:val="28"/>
              <w:szCs w:val="28"/>
            </w:rPr>
            <w:tab/>
          </w: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PAGEREF _Toc11678 \h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1</w:t>
          </w:r>
          <w:r>
            <w:rPr>
              <w:rFonts w:hint="eastAsia" w:ascii="微软雅黑" w:hAnsi="微软雅黑" w:eastAsia="微软雅黑" w:cs="微软雅黑"/>
              <w:b w:val="0"/>
              <w:bCs w:val="0"/>
              <w:sz w:val="28"/>
              <w:szCs w:val="28"/>
            </w:rPr>
            <w:fldChar w:fldCharType="end"/>
          </w:r>
          <w:r>
            <w:rPr>
              <w:rFonts w:hint="eastAsia" w:ascii="微软雅黑" w:hAnsi="微软雅黑" w:eastAsia="微软雅黑" w:cs="微软雅黑"/>
              <w:b w:val="0"/>
              <w:bCs w:val="0"/>
              <w:sz w:val="28"/>
              <w:szCs w:val="28"/>
            </w:rPr>
            <w:fldChar w:fldCharType="end"/>
          </w:r>
        </w:p>
        <w:p>
          <w:pPr>
            <w:pStyle w:val="11"/>
            <w:tabs>
              <w:tab w:val="right" w:leader="dot" w:pos="9072"/>
            </w:tabs>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HYPERLINK \l _Toc25941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四、基础设施及配套情况</w:t>
          </w:r>
          <w:r>
            <w:rPr>
              <w:rFonts w:hint="eastAsia" w:ascii="微软雅黑" w:hAnsi="微软雅黑" w:eastAsia="微软雅黑" w:cs="微软雅黑"/>
              <w:b w:val="0"/>
              <w:bCs w:val="0"/>
              <w:sz w:val="28"/>
              <w:szCs w:val="28"/>
            </w:rPr>
            <w:tab/>
          </w: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PAGEREF _Toc25941 \h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2</w:t>
          </w:r>
          <w:r>
            <w:rPr>
              <w:rFonts w:hint="eastAsia" w:ascii="微软雅黑" w:hAnsi="微软雅黑" w:eastAsia="微软雅黑" w:cs="微软雅黑"/>
              <w:b w:val="0"/>
              <w:bCs w:val="0"/>
              <w:sz w:val="28"/>
              <w:szCs w:val="28"/>
            </w:rPr>
            <w:fldChar w:fldCharType="end"/>
          </w:r>
          <w:r>
            <w:rPr>
              <w:rFonts w:hint="eastAsia" w:ascii="微软雅黑" w:hAnsi="微软雅黑" w:eastAsia="微软雅黑" w:cs="微软雅黑"/>
              <w:b w:val="0"/>
              <w:bCs w:val="0"/>
              <w:sz w:val="28"/>
              <w:szCs w:val="28"/>
            </w:rPr>
            <w:fldChar w:fldCharType="end"/>
          </w:r>
        </w:p>
        <w:p>
          <w:pPr>
            <w:pStyle w:val="11"/>
            <w:tabs>
              <w:tab w:val="right" w:leader="dot" w:pos="9072"/>
            </w:tabs>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HYPERLINK \l _Toc30929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五、政府政策支持及服务</w:t>
          </w:r>
          <w:r>
            <w:rPr>
              <w:rFonts w:hint="eastAsia" w:ascii="微软雅黑" w:hAnsi="微软雅黑" w:eastAsia="微软雅黑" w:cs="微软雅黑"/>
              <w:b w:val="0"/>
              <w:bCs w:val="0"/>
              <w:sz w:val="28"/>
              <w:szCs w:val="28"/>
            </w:rPr>
            <w:tab/>
          </w: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PAGEREF _Toc30929 \h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2</w:t>
          </w:r>
          <w:r>
            <w:rPr>
              <w:rFonts w:hint="eastAsia" w:ascii="微软雅黑" w:hAnsi="微软雅黑" w:eastAsia="微软雅黑" w:cs="微软雅黑"/>
              <w:b w:val="0"/>
              <w:bCs w:val="0"/>
              <w:sz w:val="28"/>
              <w:szCs w:val="28"/>
            </w:rPr>
            <w:fldChar w:fldCharType="end"/>
          </w:r>
          <w:r>
            <w:rPr>
              <w:rFonts w:hint="eastAsia" w:ascii="微软雅黑" w:hAnsi="微软雅黑" w:eastAsia="微软雅黑" w:cs="微软雅黑"/>
              <w:b w:val="0"/>
              <w:bCs w:val="0"/>
              <w:sz w:val="28"/>
              <w:szCs w:val="28"/>
            </w:rPr>
            <w:fldChar w:fldCharType="end"/>
          </w:r>
        </w:p>
        <w:p>
          <w:pPr>
            <w:pStyle w:val="11"/>
            <w:tabs>
              <w:tab w:val="right" w:leader="dot" w:pos="9072"/>
            </w:tabs>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HYPERLINK \l _Toc26470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六、联系方式</w:t>
          </w:r>
          <w:r>
            <w:rPr>
              <w:rFonts w:hint="eastAsia" w:ascii="微软雅黑" w:hAnsi="微软雅黑" w:eastAsia="微软雅黑" w:cs="微软雅黑"/>
              <w:b w:val="0"/>
              <w:bCs w:val="0"/>
              <w:sz w:val="28"/>
              <w:szCs w:val="28"/>
            </w:rPr>
            <w:tab/>
          </w: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PAGEREF _Toc26470 \h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2</w:t>
          </w:r>
          <w:r>
            <w:rPr>
              <w:rFonts w:hint="eastAsia" w:ascii="微软雅黑" w:hAnsi="微软雅黑" w:eastAsia="微软雅黑" w:cs="微软雅黑"/>
              <w:b w:val="0"/>
              <w:bCs w:val="0"/>
              <w:sz w:val="28"/>
              <w:szCs w:val="28"/>
            </w:rPr>
            <w:fldChar w:fldCharType="end"/>
          </w:r>
          <w:r>
            <w:rPr>
              <w:rFonts w:hint="eastAsia" w:ascii="微软雅黑" w:hAnsi="微软雅黑" w:eastAsia="微软雅黑" w:cs="微软雅黑"/>
              <w:b w:val="0"/>
              <w:bCs w:val="0"/>
              <w:sz w:val="28"/>
              <w:szCs w:val="28"/>
            </w:rPr>
            <w:fldChar w:fldCharType="end"/>
          </w:r>
        </w:p>
        <w:p>
          <w:pPr>
            <w:pStyle w:val="11"/>
            <w:tabs>
              <w:tab w:val="right" w:leader="dot" w:pos="9072"/>
            </w:tabs>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HYPERLINK \l _Toc21941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水发国际物流园</w:t>
          </w:r>
          <w:r>
            <w:rPr>
              <w:rFonts w:hint="eastAsia" w:ascii="微软雅黑" w:hAnsi="微软雅黑" w:eastAsia="微软雅黑" w:cs="微软雅黑"/>
              <w:b w:val="0"/>
              <w:bCs w:val="0"/>
              <w:sz w:val="28"/>
              <w:szCs w:val="28"/>
            </w:rPr>
            <w:tab/>
          </w: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PAGEREF _Toc21941 \h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3</w:t>
          </w:r>
          <w:r>
            <w:rPr>
              <w:rFonts w:hint="eastAsia" w:ascii="微软雅黑" w:hAnsi="微软雅黑" w:eastAsia="微软雅黑" w:cs="微软雅黑"/>
              <w:b w:val="0"/>
              <w:bCs w:val="0"/>
              <w:sz w:val="28"/>
              <w:szCs w:val="28"/>
            </w:rPr>
            <w:fldChar w:fldCharType="end"/>
          </w:r>
          <w:r>
            <w:rPr>
              <w:rFonts w:hint="eastAsia" w:ascii="微软雅黑" w:hAnsi="微软雅黑" w:eastAsia="微软雅黑" w:cs="微软雅黑"/>
              <w:b w:val="0"/>
              <w:bCs w:val="0"/>
              <w:sz w:val="28"/>
              <w:szCs w:val="28"/>
            </w:rPr>
            <w:fldChar w:fldCharType="end"/>
          </w:r>
        </w:p>
        <w:p>
          <w:pPr>
            <w:pStyle w:val="11"/>
            <w:tabs>
              <w:tab w:val="right" w:leader="dot" w:pos="9072"/>
            </w:tabs>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HYPERLINK \l _Toc32018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一、项目名称</w:t>
          </w:r>
          <w:r>
            <w:rPr>
              <w:rFonts w:hint="eastAsia" w:ascii="微软雅黑" w:hAnsi="微软雅黑" w:eastAsia="微软雅黑" w:cs="微软雅黑"/>
              <w:b w:val="0"/>
              <w:bCs w:val="0"/>
              <w:sz w:val="28"/>
              <w:szCs w:val="28"/>
            </w:rPr>
            <w:tab/>
          </w: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PAGEREF _Toc32018 \h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3</w:t>
          </w:r>
          <w:r>
            <w:rPr>
              <w:rFonts w:hint="eastAsia" w:ascii="微软雅黑" w:hAnsi="微软雅黑" w:eastAsia="微软雅黑" w:cs="微软雅黑"/>
              <w:b w:val="0"/>
              <w:bCs w:val="0"/>
              <w:sz w:val="28"/>
              <w:szCs w:val="28"/>
            </w:rPr>
            <w:fldChar w:fldCharType="end"/>
          </w:r>
          <w:r>
            <w:rPr>
              <w:rFonts w:hint="eastAsia" w:ascii="微软雅黑" w:hAnsi="微软雅黑" w:eastAsia="微软雅黑" w:cs="微软雅黑"/>
              <w:b w:val="0"/>
              <w:bCs w:val="0"/>
              <w:sz w:val="28"/>
              <w:szCs w:val="28"/>
            </w:rPr>
            <w:fldChar w:fldCharType="end"/>
          </w:r>
        </w:p>
        <w:p>
          <w:pPr>
            <w:pStyle w:val="11"/>
            <w:tabs>
              <w:tab w:val="right" w:leader="dot" w:pos="9072"/>
            </w:tabs>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HYPERLINK \l _Toc3794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二、园区(或楼宇)概况</w:t>
          </w:r>
          <w:r>
            <w:rPr>
              <w:rFonts w:hint="eastAsia" w:ascii="微软雅黑" w:hAnsi="微软雅黑" w:eastAsia="微软雅黑" w:cs="微软雅黑"/>
              <w:b w:val="0"/>
              <w:bCs w:val="0"/>
              <w:sz w:val="28"/>
              <w:szCs w:val="28"/>
            </w:rPr>
            <w:tab/>
          </w: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PAGEREF _Toc3794 \h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3</w:t>
          </w:r>
          <w:r>
            <w:rPr>
              <w:rFonts w:hint="eastAsia" w:ascii="微软雅黑" w:hAnsi="微软雅黑" w:eastAsia="微软雅黑" w:cs="微软雅黑"/>
              <w:b w:val="0"/>
              <w:bCs w:val="0"/>
              <w:sz w:val="28"/>
              <w:szCs w:val="28"/>
            </w:rPr>
            <w:fldChar w:fldCharType="end"/>
          </w:r>
          <w:r>
            <w:rPr>
              <w:rFonts w:hint="eastAsia" w:ascii="微软雅黑" w:hAnsi="微软雅黑" w:eastAsia="微软雅黑" w:cs="微软雅黑"/>
              <w:b w:val="0"/>
              <w:bCs w:val="0"/>
              <w:sz w:val="28"/>
              <w:szCs w:val="28"/>
            </w:rPr>
            <w:fldChar w:fldCharType="end"/>
          </w:r>
        </w:p>
        <w:p>
          <w:pPr>
            <w:pStyle w:val="12"/>
            <w:tabs>
              <w:tab w:val="right" w:leader="dot" w:pos="9072"/>
            </w:tabs>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HYPERLINK \l _Toc26104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（一）投资方情况</w:t>
          </w:r>
          <w:r>
            <w:rPr>
              <w:rFonts w:hint="eastAsia" w:ascii="微软雅黑" w:hAnsi="微软雅黑" w:eastAsia="微软雅黑" w:cs="微软雅黑"/>
              <w:b w:val="0"/>
              <w:bCs w:val="0"/>
              <w:sz w:val="28"/>
              <w:szCs w:val="28"/>
            </w:rPr>
            <w:tab/>
          </w: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PAGEREF _Toc26104 \h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3</w:t>
          </w:r>
          <w:r>
            <w:rPr>
              <w:rFonts w:hint="eastAsia" w:ascii="微软雅黑" w:hAnsi="微软雅黑" w:eastAsia="微软雅黑" w:cs="微软雅黑"/>
              <w:b w:val="0"/>
              <w:bCs w:val="0"/>
              <w:sz w:val="28"/>
              <w:szCs w:val="28"/>
            </w:rPr>
            <w:fldChar w:fldCharType="end"/>
          </w:r>
          <w:r>
            <w:rPr>
              <w:rFonts w:hint="eastAsia" w:ascii="微软雅黑" w:hAnsi="微软雅黑" w:eastAsia="微软雅黑" w:cs="微软雅黑"/>
              <w:b w:val="0"/>
              <w:bCs w:val="0"/>
              <w:sz w:val="28"/>
              <w:szCs w:val="28"/>
            </w:rPr>
            <w:fldChar w:fldCharType="end"/>
          </w:r>
        </w:p>
        <w:p>
          <w:pPr>
            <w:pStyle w:val="12"/>
            <w:tabs>
              <w:tab w:val="right" w:leader="dot" w:pos="9072"/>
            </w:tabs>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HYPERLINK \l _Toc3969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（二）区域位置、交通设施、等级定位、空间规划</w:t>
          </w:r>
          <w:r>
            <w:rPr>
              <w:rFonts w:hint="eastAsia" w:ascii="微软雅黑" w:hAnsi="微软雅黑" w:eastAsia="微软雅黑" w:cs="微软雅黑"/>
              <w:b w:val="0"/>
              <w:bCs w:val="0"/>
              <w:sz w:val="28"/>
              <w:szCs w:val="28"/>
            </w:rPr>
            <w:tab/>
          </w: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PAGEREF _Toc3969 \h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4</w:t>
          </w:r>
          <w:r>
            <w:rPr>
              <w:rFonts w:hint="eastAsia" w:ascii="微软雅黑" w:hAnsi="微软雅黑" w:eastAsia="微软雅黑" w:cs="微软雅黑"/>
              <w:b w:val="0"/>
              <w:bCs w:val="0"/>
              <w:sz w:val="28"/>
              <w:szCs w:val="28"/>
            </w:rPr>
            <w:fldChar w:fldCharType="end"/>
          </w:r>
          <w:r>
            <w:rPr>
              <w:rFonts w:hint="eastAsia" w:ascii="微软雅黑" w:hAnsi="微软雅黑" w:eastAsia="微软雅黑" w:cs="微软雅黑"/>
              <w:b w:val="0"/>
              <w:bCs w:val="0"/>
              <w:sz w:val="28"/>
              <w:szCs w:val="28"/>
            </w:rPr>
            <w:fldChar w:fldCharType="end"/>
          </w:r>
        </w:p>
        <w:p>
          <w:pPr>
            <w:pStyle w:val="12"/>
            <w:tabs>
              <w:tab w:val="right" w:leader="dot" w:pos="9072"/>
            </w:tabs>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HYPERLINK \l _Toc18793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图：水发国际物流园项目区位示意图</w:t>
          </w:r>
          <w:r>
            <w:rPr>
              <w:rFonts w:hint="eastAsia" w:ascii="微软雅黑" w:hAnsi="微软雅黑" w:eastAsia="微软雅黑" w:cs="微软雅黑"/>
              <w:b w:val="0"/>
              <w:bCs w:val="0"/>
              <w:sz w:val="28"/>
              <w:szCs w:val="28"/>
            </w:rPr>
            <w:tab/>
          </w: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PAGEREF _Toc18793 \h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4</w:t>
          </w:r>
          <w:r>
            <w:rPr>
              <w:rFonts w:hint="eastAsia" w:ascii="微软雅黑" w:hAnsi="微软雅黑" w:eastAsia="微软雅黑" w:cs="微软雅黑"/>
              <w:b w:val="0"/>
              <w:bCs w:val="0"/>
              <w:sz w:val="28"/>
              <w:szCs w:val="28"/>
            </w:rPr>
            <w:fldChar w:fldCharType="end"/>
          </w:r>
          <w:r>
            <w:rPr>
              <w:rFonts w:hint="eastAsia" w:ascii="微软雅黑" w:hAnsi="微软雅黑" w:eastAsia="微软雅黑" w:cs="微软雅黑"/>
              <w:b w:val="0"/>
              <w:bCs w:val="0"/>
              <w:sz w:val="28"/>
              <w:szCs w:val="28"/>
            </w:rPr>
            <w:fldChar w:fldCharType="end"/>
          </w:r>
        </w:p>
        <w:p>
          <w:pPr>
            <w:pStyle w:val="11"/>
            <w:tabs>
              <w:tab w:val="right" w:leader="dot" w:pos="9072"/>
            </w:tabs>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HYPERLINK \l _Toc28123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三、产业发展基础或定位</w:t>
          </w:r>
          <w:r>
            <w:rPr>
              <w:rFonts w:hint="eastAsia" w:ascii="微软雅黑" w:hAnsi="微软雅黑" w:eastAsia="微软雅黑" w:cs="微软雅黑"/>
              <w:b w:val="0"/>
              <w:bCs w:val="0"/>
              <w:sz w:val="28"/>
              <w:szCs w:val="28"/>
            </w:rPr>
            <w:tab/>
          </w: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PAGEREF _Toc28123 \h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5</w:t>
          </w:r>
          <w:r>
            <w:rPr>
              <w:rFonts w:hint="eastAsia" w:ascii="微软雅黑" w:hAnsi="微软雅黑" w:eastAsia="微软雅黑" w:cs="微软雅黑"/>
              <w:b w:val="0"/>
              <w:bCs w:val="0"/>
              <w:sz w:val="28"/>
              <w:szCs w:val="28"/>
            </w:rPr>
            <w:fldChar w:fldCharType="end"/>
          </w:r>
          <w:r>
            <w:rPr>
              <w:rFonts w:hint="eastAsia" w:ascii="微软雅黑" w:hAnsi="微软雅黑" w:eastAsia="微软雅黑" w:cs="微软雅黑"/>
              <w:b w:val="0"/>
              <w:bCs w:val="0"/>
              <w:sz w:val="28"/>
              <w:szCs w:val="28"/>
            </w:rPr>
            <w:fldChar w:fldCharType="end"/>
          </w:r>
        </w:p>
        <w:p>
          <w:pPr>
            <w:pStyle w:val="12"/>
            <w:tabs>
              <w:tab w:val="right" w:leader="dot" w:pos="9072"/>
            </w:tabs>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HYPERLINK \l _Toc26867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（1）主导产业一:物流服务</w:t>
          </w:r>
          <w:r>
            <w:rPr>
              <w:rFonts w:hint="eastAsia" w:ascii="微软雅黑" w:hAnsi="微软雅黑" w:eastAsia="微软雅黑" w:cs="微软雅黑"/>
              <w:b w:val="0"/>
              <w:bCs w:val="0"/>
              <w:sz w:val="28"/>
              <w:szCs w:val="28"/>
            </w:rPr>
            <w:tab/>
          </w: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PAGEREF _Toc26867 \h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5</w:t>
          </w:r>
          <w:r>
            <w:rPr>
              <w:rFonts w:hint="eastAsia" w:ascii="微软雅黑" w:hAnsi="微软雅黑" w:eastAsia="微软雅黑" w:cs="微软雅黑"/>
              <w:b w:val="0"/>
              <w:bCs w:val="0"/>
              <w:sz w:val="28"/>
              <w:szCs w:val="28"/>
            </w:rPr>
            <w:fldChar w:fldCharType="end"/>
          </w:r>
          <w:r>
            <w:rPr>
              <w:rFonts w:hint="eastAsia" w:ascii="微软雅黑" w:hAnsi="微软雅黑" w:eastAsia="微软雅黑" w:cs="微软雅黑"/>
              <w:b w:val="0"/>
              <w:bCs w:val="0"/>
              <w:sz w:val="28"/>
              <w:szCs w:val="28"/>
            </w:rPr>
            <w:fldChar w:fldCharType="end"/>
          </w:r>
        </w:p>
        <w:p>
          <w:pPr>
            <w:pStyle w:val="12"/>
            <w:tabs>
              <w:tab w:val="right" w:leader="dot" w:pos="9072"/>
            </w:tabs>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HYPERLINK \l _Toc24974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（2）主导产业二:交易服务</w:t>
          </w:r>
          <w:r>
            <w:rPr>
              <w:rFonts w:hint="eastAsia" w:ascii="微软雅黑" w:hAnsi="微软雅黑" w:eastAsia="微软雅黑" w:cs="微软雅黑"/>
              <w:b w:val="0"/>
              <w:bCs w:val="0"/>
              <w:sz w:val="28"/>
              <w:szCs w:val="28"/>
            </w:rPr>
            <w:tab/>
          </w: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PAGEREF _Toc24974 \h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6</w:t>
          </w:r>
          <w:r>
            <w:rPr>
              <w:rFonts w:hint="eastAsia" w:ascii="微软雅黑" w:hAnsi="微软雅黑" w:eastAsia="微软雅黑" w:cs="微软雅黑"/>
              <w:b w:val="0"/>
              <w:bCs w:val="0"/>
              <w:sz w:val="28"/>
              <w:szCs w:val="28"/>
            </w:rPr>
            <w:fldChar w:fldCharType="end"/>
          </w:r>
          <w:r>
            <w:rPr>
              <w:rFonts w:hint="eastAsia" w:ascii="微软雅黑" w:hAnsi="微软雅黑" w:eastAsia="微软雅黑" w:cs="微软雅黑"/>
              <w:b w:val="0"/>
              <w:bCs w:val="0"/>
              <w:sz w:val="28"/>
              <w:szCs w:val="28"/>
            </w:rPr>
            <w:fldChar w:fldCharType="end"/>
          </w:r>
        </w:p>
        <w:p>
          <w:pPr>
            <w:pStyle w:val="12"/>
            <w:tabs>
              <w:tab w:val="right" w:leader="dot" w:pos="9072"/>
            </w:tabs>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HYPERLINK \l _Toc4229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（3）主导产业三:金融服务</w:t>
          </w:r>
          <w:r>
            <w:rPr>
              <w:rFonts w:hint="eastAsia" w:ascii="微软雅黑" w:hAnsi="微软雅黑" w:eastAsia="微软雅黑" w:cs="微软雅黑"/>
              <w:b w:val="0"/>
              <w:bCs w:val="0"/>
              <w:sz w:val="28"/>
              <w:szCs w:val="28"/>
            </w:rPr>
            <w:tab/>
          </w: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PAGEREF _Toc4229 \h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6</w:t>
          </w:r>
          <w:r>
            <w:rPr>
              <w:rFonts w:hint="eastAsia" w:ascii="微软雅黑" w:hAnsi="微软雅黑" w:eastAsia="微软雅黑" w:cs="微软雅黑"/>
              <w:b w:val="0"/>
              <w:bCs w:val="0"/>
              <w:sz w:val="28"/>
              <w:szCs w:val="28"/>
            </w:rPr>
            <w:fldChar w:fldCharType="end"/>
          </w:r>
          <w:r>
            <w:rPr>
              <w:rFonts w:hint="eastAsia" w:ascii="微软雅黑" w:hAnsi="微软雅黑" w:eastAsia="微软雅黑" w:cs="微软雅黑"/>
              <w:b w:val="0"/>
              <w:bCs w:val="0"/>
              <w:sz w:val="28"/>
              <w:szCs w:val="28"/>
            </w:rPr>
            <w:fldChar w:fldCharType="end"/>
          </w:r>
        </w:p>
        <w:p>
          <w:pPr>
            <w:pStyle w:val="12"/>
            <w:tabs>
              <w:tab w:val="right" w:leader="dot" w:pos="9072"/>
            </w:tabs>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HYPERLINK \l _Toc30202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（4）主导产业四:信息服务</w:t>
          </w:r>
          <w:r>
            <w:rPr>
              <w:rFonts w:hint="eastAsia" w:ascii="微软雅黑" w:hAnsi="微软雅黑" w:eastAsia="微软雅黑" w:cs="微软雅黑"/>
              <w:b w:val="0"/>
              <w:bCs w:val="0"/>
              <w:sz w:val="28"/>
              <w:szCs w:val="28"/>
            </w:rPr>
            <w:tab/>
          </w: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PAGEREF _Toc30202 \h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6</w:t>
          </w:r>
          <w:r>
            <w:rPr>
              <w:rFonts w:hint="eastAsia" w:ascii="微软雅黑" w:hAnsi="微软雅黑" w:eastAsia="微软雅黑" w:cs="微软雅黑"/>
              <w:b w:val="0"/>
              <w:bCs w:val="0"/>
              <w:sz w:val="28"/>
              <w:szCs w:val="28"/>
            </w:rPr>
            <w:fldChar w:fldCharType="end"/>
          </w:r>
          <w:r>
            <w:rPr>
              <w:rFonts w:hint="eastAsia" w:ascii="微软雅黑" w:hAnsi="微软雅黑" w:eastAsia="微软雅黑" w:cs="微软雅黑"/>
              <w:b w:val="0"/>
              <w:bCs w:val="0"/>
              <w:sz w:val="28"/>
              <w:szCs w:val="28"/>
            </w:rPr>
            <w:fldChar w:fldCharType="end"/>
          </w:r>
        </w:p>
        <w:p>
          <w:pPr>
            <w:pStyle w:val="11"/>
            <w:tabs>
              <w:tab w:val="right" w:leader="dot" w:pos="9072"/>
            </w:tabs>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HYPERLINK \l _Toc30846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四、基础设施及配套情况</w:t>
          </w:r>
          <w:r>
            <w:rPr>
              <w:rFonts w:hint="eastAsia" w:ascii="微软雅黑" w:hAnsi="微软雅黑" w:eastAsia="微软雅黑" w:cs="微软雅黑"/>
              <w:b w:val="0"/>
              <w:bCs w:val="0"/>
              <w:sz w:val="28"/>
              <w:szCs w:val="28"/>
            </w:rPr>
            <w:tab/>
          </w: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PAGEREF _Toc30846 \h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6</w:t>
          </w:r>
          <w:r>
            <w:rPr>
              <w:rFonts w:hint="eastAsia" w:ascii="微软雅黑" w:hAnsi="微软雅黑" w:eastAsia="微软雅黑" w:cs="微软雅黑"/>
              <w:b w:val="0"/>
              <w:bCs w:val="0"/>
              <w:sz w:val="28"/>
              <w:szCs w:val="28"/>
            </w:rPr>
            <w:fldChar w:fldCharType="end"/>
          </w:r>
          <w:r>
            <w:rPr>
              <w:rFonts w:hint="eastAsia" w:ascii="微软雅黑" w:hAnsi="微软雅黑" w:eastAsia="微软雅黑" w:cs="微软雅黑"/>
              <w:b w:val="0"/>
              <w:bCs w:val="0"/>
              <w:sz w:val="28"/>
              <w:szCs w:val="28"/>
            </w:rPr>
            <w:fldChar w:fldCharType="end"/>
          </w:r>
        </w:p>
        <w:p>
          <w:pPr>
            <w:pStyle w:val="11"/>
            <w:tabs>
              <w:tab w:val="right" w:leader="dot" w:pos="9072"/>
            </w:tabs>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HYPERLINK \l _Toc31353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五、联系方式</w:t>
          </w:r>
          <w:r>
            <w:rPr>
              <w:rFonts w:hint="eastAsia" w:ascii="微软雅黑" w:hAnsi="微软雅黑" w:eastAsia="微软雅黑" w:cs="微软雅黑"/>
              <w:b w:val="0"/>
              <w:bCs w:val="0"/>
              <w:sz w:val="28"/>
              <w:szCs w:val="28"/>
            </w:rPr>
            <w:tab/>
          </w: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PAGEREF _Toc31353 \h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8</w:t>
          </w:r>
          <w:r>
            <w:rPr>
              <w:rFonts w:hint="eastAsia" w:ascii="微软雅黑" w:hAnsi="微软雅黑" w:eastAsia="微软雅黑" w:cs="微软雅黑"/>
              <w:b w:val="0"/>
              <w:bCs w:val="0"/>
              <w:sz w:val="28"/>
              <w:szCs w:val="28"/>
            </w:rPr>
            <w:fldChar w:fldCharType="end"/>
          </w:r>
          <w:r>
            <w:rPr>
              <w:rFonts w:hint="eastAsia" w:ascii="微软雅黑" w:hAnsi="微软雅黑" w:eastAsia="微软雅黑" w:cs="微软雅黑"/>
              <w:b w:val="0"/>
              <w:bCs w:val="0"/>
              <w:sz w:val="28"/>
              <w:szCs w:val="28"/>
            </w:rPr>
            <w:fldChar w:fldCharType="end"/>
          </w:r>
        </w:p>
        <w:p>
          <w:pPr>
            <w:pStyle w:val="11"/>
            <w:tabs>
              <w:tab w:val="right" w:leader="dot" w:pos="9072"/>
            </w:tabs>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HYPERLINK \l _Toc12641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平阴物流总部基地项目</w:t>
          </w:r>
          <w:r>
            <w:rPr>
              <w:rFonts w:hint="eastAsia" w:ascii="微软雅黑" w:hAnsi="微软雅黑" w:eastAsia="微软雅黑" w:cs="微软雅黑"/>
              <w:b w:val="0"/>
              <w:bCs w:val="0"/>
              <w:sz w:val="28"/>
              <w:szCs w:val="28"/>
            </w:rPr>
            <w:tab/>
          </w: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PAGEREF _Toc12641 \h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9</w:t>
          </w:r>
          <w:r>
            <w:rPr>
              <w:rFonts w:hint="eastAsia" w:ascii="微软雅黑" w:hAnsi="微软雅黑" w:eastAsia="微软雅黑" w:cs="微软雅黑"/>
              <w:b w:val="0"/>
              <w:bCs w:val="0"/>
              <w:sz w:val="28"/>
              <w:szCs w:val="28"/>
            </w:rPr>
            <w:fldChar w:fldCharType="end"/>
          </w:r>
          <w:r>
            <w:rPr>
              <w:rFonts w:hint="eastAsia" w:ascii="微软雅黑" w:hAnsi="微软雅黑" w:eastAsia="微软雅黑" w:cs="微软雅黑"/>
              <w:b w:val="0"/>
              <w:bCs w:val="0"/>
              <w:sz w:val="28"/>
              <w:szCs w:val="28"/>
            </w:rPr>
            <w:fldChar w:fldCharType="end"/>
          </w:r>
        </w:p>
        <w:p>
          <w:pPr>
            <w:pStyle w:val="11"/>
            <w:tabs>
              <w:tab w:val="right" w:leader="dot" w:pos="9072"/>
            </w:tabs>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HYPERLINK \l _Toc2510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一、项目名称</w:t>
          </w:r>
          <w:r>
            <w:rPr>
              <w:rFonts w:hint="eastAsia" w:ascii="微软雅黑" w:hAnsi="微软雅黑" w:eastAsia="微软雅黑" w:cs="微软雅黑"/>
              <w:b w:val="0"/>
              <w:bCs w:val="0"/>
              <w:sz w:val="28"/>
              <w:szCs w:val="28"/>
            </w:rPr>
            <w:tab/>
          </w: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PAGEREF _Toc2510 \h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9</w:t>
          </w:r>
          <w:r>
            <w:rPr>
              <w:rFonts w:hint="eastAsia" w:ascii="微软雅黑" w:hAnsi="微软雅黑" w:eastAsia="微软雅黑" w:cs="微软雅黑"/>
              <w:b w:val="0"/>
              <w:bCs w:val="0"/>
              <w:sz w:val="28"/>
              <w:szCs w:val="28"/>
            </w:rPr>
            <w:fldChar w:fldCharType="end"/>
          </w:r>
          <w:r>
            <w:rPr>
              <w:rFonts w:hint="eastAsia" w:ascii="微软雅黑" w:hAnsi="微软雅黑" w:eastAsia="微软雅黑" w:cs="微软雅黑"/>
              <w:b w:val="0"/>
              <w:bCs w:val="0"/>
              <w:sz w:val="28"/>
              <w:szCs w:val="28"/>
            </w:rPr>
            <w:fldChar w:fldCharType="end"/>
          </w:r>
        </w:p>
        <w:p>
          <w:pPr>
            <w:pStyle w:val="11"/>
            <w:tabs>
              <w:tab w:val="right" w:leader="dot" w:pos="9072"/>
            </w:tabs>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HYPERLINK \l _Toc11784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二、项目单位简介</w:t>
          </w:r>
          <w:r>
            <w:rPr>
              <w:rFonts w:hint="eastAsia" w:ascii="微软雅黑" w:hAnsi="微软雅黑" w:eastAsia="微软雅黑" w:cs="微软雅黑"/>
              <w:b w:val="0"/>
              <w:bCs w:val="0"/>
              <w:sz w:val="28"/>
              <w:szCs w:val="28"/>
            </w:rPr>
            <w:tab/>
          </w: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PAGEREF _Toc11784 \h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9</w:t>
          </w:r>
          <w:r>
            <w:rPr>
              <w:rFonts w:hint="eastAsia" w:ascii="微软雅黑" w:hAnsi="微软雅黑" w:eastAsia="微软雅黑" w:cs="微软雅黑"/>
              <w:b w:val="0"/>
              <w:bCs w:val="0"/>
              <w:sz w:val="28"/>
              <w:szCs w:val="28"/>
            </w:rPr>
            <w:fldChar w:fldCharType="end"/>
          </w:r>
          <w:r>
            <w:rPr>
              <w:rFonts w:hint="eastAsia" w:ascii="微软雅黑" w:hAnsi="微软雅黑" w:eastAsia="微软雅黑" w:cs="微软雅黑"/>
              <w:b w:val="0"/>
              <w:bCs w:val="0"/>
              <w:sz w:val="28"/>
              <w:szCs w:val="28"/>
            </w:rPr>
            <w:fldChar w:fldCharType="end"/>
          </w:r>
        </w:p>
        <w:p>
          <w:pPr>
            <w:pStyle w:val="11"/>
            <w:tabs>
              <w:tab w:val="right" w:leader="dot" w:pos="9072"/>
            </w:tabs>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HYPERLINK \l _Toc2563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三、合作项目概述</w:t>
          </w:r>
          <w:r>
            <w:rPr>
              <w:rFonts w:hint="eastAsia" w:ascii="微软雅黑" w:hAnsi="微软雅黑" w:eastAsia="微软雅黑" w:cs="微软雅黑"/>
              <w:b w:val="0"/>
              <w:bCs w:val="0"/>
              <w:sz w:val="28"/>
              <w:szCs w:val="28"/>
            </w:rPr>
            <w:tab/>
          </w: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PAGEREF _Toc2563 \h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9</w:t>
          </w:r>
          <w:r>
            <w:rPr>
              <w:rFonts w:hint="eastAsia" w:ascii="微软雅黑" w:hAnsi="微软雅黑" w:eastAsia="微软雅黑" w:cs="微软雅黑"/>
              <w:b w:val="0"/>
              <w:bCs w:val="0"/>
              <w:sz w:val="28"/>
              <w:szCs w:val="28"/>
            </w:rPr>
            <w:fldChar w:fldCharType="end"/>
          </w:r>
          <w:r>
            <w:rPr>
              <w:rFonts w:hint="eastAsia" w:ascii="微软雅黑" w:hAnsi="微软雅黑" w:eastAsia="微软雅黑" w:cs="微软雅黑"/>
              <w:b w:val="0"/>
              <w:bCs w:val="0"/>
              <w:sz w:val="28"/>
              <w:szCs w:val="28"/>
            </w:rPr>
            <w:fldChar w:fldCharType="end"/>
          </w:r>
        </w:p>
        <w:p>
          <w:pPr>
            <w:pStyle w:val="12"/>
            <w:tabs>
              <w:tab w:val="right" w:leader="dot" w:pos="9072"/>
            </w:tabs>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HYPERLINK \l _Toc26762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（一）战略定位</w:t>
          </w:r>
          <w:r>
            <w:rPr>
              <w:rFonts w:hint="eastAsia" w:ascii="微软雅黑" w:hAnsi="微软雅黑" w:eastAsia="微软雅黑" w:cs="微软雅黑"/>
              <w:b w:val="0"/>
              <w:bCs w:val="0"/>
              <w:sz w:val="28"/>
              <w:szCs w:val="28"/>
            </w:rPr>
            <w:tab/>
          </w: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PAGEREF _Toc26762 \h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9</w:t>
          </w:r>
          <w:r>
            <w:rPr>
              <w:rFonts w:hint="eastAsia" w:ascii="微软雅黑" w:hAnsi="微软雅黑" w:eastAsia="微软雅黑" w:cs="微软雅黑"/>
              <w:b w:val="0"/>
              <w:bCs w:val="0"/>
              <w:sz w:val="28"/>
              <w:szCs w:val="28"/>
            </w:rPr>
            <w:fldChar w:fldCharType="end"/>
          </w:r>
          <w:r>
            <w:rPr>
              <w:rFonts w:hint="eastAsia" w:ascii="微软雅黑" w:hAnsi="微软雅黑" w:eastAsia="微软雅黑" w:cs="微软雅黑"/>
              <w:b w:val="0"/>
              <w:bCs w:val="0"/>
              <w:sz w:val="28"/>
              <w:szCs w:val="28"/>
            </w:rPr>
            <w:fldChar w:fldCharType="end"/>
          </w:r>
        </w:p>
        <w:p>
          <w:pPr>
            <w:pStyle w:val="12"/>
            <w:tabs>
              <w:tab w:val="right" w:leader="dot" w:pos="9072"/>
            </w:tabs>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HYPERLINK \l _Toc20543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基地功能区划分</w:t>
          </w:r>
          <w:r>
            <w:rPr>
              <w:rFonts w:hint="eastAsia" w:ascii="微软雅黑" w:hAnsi="微软雅黑" w:eastAsia="微软雅黑" w:cs="微软雅黑"/>
              <w:b w:val="0"/>
              <w:bCs w:val="0"/>
              <w:sz w:val="28"/>
              <w:szCs w:val="28"/>
            </w:rPr>
            <w:tab/>
          </w: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PAGEREF _Toc20543 \h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11</w:t>
          </w:r>
          <w:r>
            <w:rPr>
              <w:rFonts w:hint="eastAsia" w:ascii="微软雅黑" w:hAnsi="微软雅黑" w:eastAsia="微软雅黑" w:cs="微软雅黑"/>
              <w:b w:val="0"/>
              <w:bCs w:val="0"/>
              <w:sz w:val="28"/>
              <w:szCs w:val="28"/>
            </w:rPr>
            <w:fldChar w:fldCharType="end"/>
          </w:r>
          <w:r>
            <w:rPr>
              <w:rFonts w:hint="eastAsia" w:ascii="微软雅黑" w:hAnsi="微软雅黑" w:eastAsia="微软雅黑" w:cs="微软雅黑"/>
              <w:b w:val="0"/>
              <w:bCs w:val="0"/>
              <w:sz w:val="28"/>
              <w:szCs w:val="28"/>
            </w:rPr>
            <w:fldChar w:fldCharType="end"/>
          </w:r>
        </w:p>
        <w:p>
          <w:pPr>
            <w:pStyle w:val="12"/>
            <w:tabs>
              <w:tab w:val="right" w:leader="dot" w:pos="9072"/>
            </w:tabs>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HYPERLINK \l _Toc16175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   1.1功能区说明</w:t>
          </w:r>
          <w:r>
            <w:rPr>
              <w:rFonts w:hint="eastAsia" w:ascii="微软雅黑" w:hAnsi="微软雅黑" w:eastAsia="微软雅黑" w:cs="微软雅黑"/>
              <w:b w:val="0"/>
              <w:bCs w:val="0"/>
              <w:sz w:val="28"/>
              <w:szCs w:val="28"/>
            </w:rPr>
            <w:tab/>
          </w: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PAGEREF _Toc16175 \h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12</w:t>
          </w:r>
          <w:r>
            <w:rPr>
              <w:rFonts w:hint="eastAsia" w:ascii="微软雅黑" w:hAnsi="微软雅黑" w:eastAsia="微软雅黑" w:cs="微软雅黑"/>
              <w:b w:val="0"/>
              <w:bCs w:val="0"/>
              <w:sz w:val="28"/>
              <w:szCs w:val="28"/>
            </w:rPr>
            <w:fldChar w:fldCharType="end"/>
          </w:r>
          <w:r>
            <w:rPr>
              <w:rFonts w:hint="eastAsia" w:ascii="微软雅黑" w:hAnsi="微软雅黑" w:eastAsia="微软雅黑" w:cs="微软雅黑"/>
              <w:b w:val="0"/>
              <w:bCs w:val="0"/>
              <w:sz w:val="28"/>
              <w:szCs w:val="28"/>
            </w:rPr>
            <w:fldChar w:fldCharType="end"/>
          </w:r>
        </w:p>
        <w:p>
          <w:pPr>
            <w:pStyle w:val="12"/>
            <w:tabs>
              <w:tab w:val="right" w:leader="dot" w:pos="9072"/>
            </w:tabs>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HYPERLINK \l _Toc12388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pacing w:val="0"/>
              <w:sz w:val="28"/>
              <w:szCs w:val="28"/>
            </w:rPr>
            <w:t>1.1.2</w:t>
          </w:r>
          <w:r>
            <w:rPr>
              <w:rFonts w:hint="eastAsia" w:ascii="微软雅黑" w:hAnsi="微软雅黑" w:eastAsia="微软雅黑" w:cs="微软雅黑"/>
              <w:b w:val="0"/>
              <w:bCs w:val="0"/>
              <w:sz w:val="28"/>
              <w:szCs w:val="28"/>
            </w:rPr>
            <w:t>   分销配送区</w:t>
          </w:r>
          <w:r>
            <w:rPr>
              <w:rFonts w:hint="eastAsia" w:ascii="微软雅黑" w:hAnsi="微软雅黑" w:eastAsia="微软雅黑" w:cs="微软雅黑"/>
              <w:b w:val="0"/>
              <w:bCs w:val="0"/>
              <w:sz w:val="28"/>
              <w:szCs w:val="28"/>
            </w:rPr>
            <w:tab/>
          </w: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PAGEREF _Toc12388 \h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15</w:t>
          </w:r>
          <w:r>
            <w:rPr>
              <w:rFonts w:hint="eastAsia" w:ascii="微软雅黑" w:hAnsi="微软雅黑" w:eastAsia="微软雅黑" w:cs="微软雅黑"/>
              <w:b w:val="0"/>
              <w:bCs w:val="0"/>
              <w:sz w:val="28"/>
              <w:szCs w:val="28"/>
            </w:rPr>
            <w:fldChar w:fldCharType="end"/>
          </w:r>
          <w:r>
            <w:rPr>
              <w:rFonts w:hint="eastAsia" w:ascii="微软雅黑" w:hAnsi="微软雅黑" w:eastAsia="微软雅黑" w:cs="微软雅黑"/>
              <w:b w:val="0"/>
              <w:bCs w:val="0"/>
              <w:sz w:val="28"/>
              <w:szCs w:val="28"/>
            </w:rPr>
            <w:fldChar w:fldCharType="end"/>
          </w:r>
        </w:p>
        <w:p>
          <w:pPr>
            <w:pStyle w:val="11"/>
            <w:tabs>
              <w:tab w:val="right" w:leader="dot" w:pos="9072"/>
            </w:tabs>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HYPERLINK \l _Toc21031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四、行业及财务分析</w:t>
          </w:r>
          <w:r>
            <w:rPr>
              <w:rFonts w:hint="eastAsia" w:ascii="微软雅黑" w:hAnsi="微软雅黑" w:eastAsia="微软雅黑" w:cs="微软雅黑"/>
              <w:b w:val="0"/>
              <w:bCs w:val="0"/>
              <w:sz w:val="28"/>
              <w:szCs w:val="28"/>
            </w:rPr>
            <w:tab/>
          </w: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PAGEREF _Toc21031 \h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23</w:t>
          </w:r>
          <w:r>
            <w:rPr>
              <w:rFonts w:hint="eastAsia" w:ascii="微软雅黑" w:hAnsi="微软雅黑" w:eastAsia="微软雅黑" w:cs="微软雅黑"/>
              <w:b w:val="0"/>
              <w:bCs w:val="0"/>
              <w:sz w:val="28"/>
              <w:szCs w:val="28"/>
            </w:rPr>
            <w:fldChar w:fldCharType="end"/>
          </w:r>
          <w:r>
            <w:rPr>
              <w:rFonts w:hint="eastAsia" w:ascii="微软雅黑" w:hAnsi="微软雅黑" w:eastAsia="微软雅黑" w:cs="微软雅黑"/>
              <w:b w:val="0"/>
              <w:bCs w:val="0"/>
              <w:sz w:val="28"/>
              <w:szCs w:val="28"/>
            </w:rPr>
            <w:fldChar w:fldCharType="end"/>
          </w:r>
        </w:p>
        <w:p>
          <w:pPr>
            <w:pStyle w:val="12"/>
            <w:tabs>
              <w:tab w:val="right" w:leader="dot" w:pos="9072"/>
            </w:tabs>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HYPERLINK \l _Toc15980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（一）不确定性分析</w:t>
          </w:r>
          <w:r>
            <w:rPr>
              <w:rFonts w:hint="eastAsia" w:ascii="微软雅黑" w:hAnsi="微软雅黑" w:eastAsia="微软雅黑" w:cs="微软雅黑"/>
              <w:b w:val="0"/>
              <w:bCs w:val="0"/>
              <w:sz w:val="28"/>
              <w:szCs w:val="28"/>
            </w:rPr>
            <w:tab/>
          </w: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PAGEREF _Toc15980 \h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24</w:t>
          </w:r>
          <w:r>
            <w:rPr>
              <w:rFonts w:hint="eastAsia" w:ascii="微软雅黑" w:hAnsi="微软雅黑" w:eastAsia="微软雅黑" w:cs="微软雅黑"/>
              <w:b w:val="0"/>
              <w:bCs w:val="0"/>
              <w:sz w:val="28"/>
              <w:szCs w:val="28"/>
            </w:rPr>
            <w:fldChar w:fldCharType="end"/>
          </w:r>
          <w:r>
            <w:rPr>
              <w:rFonts w:hint="eastAsia" w:ascii="微软雅黑" w:hAnsi="微软雅黑" w:eastAsia="微软雅黑" w:cs="微软雅黑"/>
              <w:b w:val="0"/>
              <w:bCs w:val="0"/>
              <w:sz w:val="28"/>
              <w:szCs w:val="28"/>
            </w:rPr>
            <w:fldChar w:fldCharType="end"/>
          </w:r>
        </w:p>
        <w:p>
          <w:pPr>
            <w:pStyle w:val="12"/>
            <w:tabs>
              <w:tab w:val="right" w:leader="dot" w:pos="9072"/>
            </w:tabs>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HYPERLINK \l _Toc12257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（二）财务评价结论</w:t>
          </w:r>
          <w:r>
            <w:rPr>
              <w:rFonts w:hint="eastAsia" w:ascii="微软雅黑" w:hAnsi="微软雅黑" w:eastAsia="微软雅黑" w:cs="微软雅黑"/>
              <w:b w:val="0"/>
              <w:bCs w:val="0"/>
              <w:sz w:val="28"/>
              <w:szCs w:val="28"/>
            </w:rPr>
            <w:tab/>
          </w: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PAGEREF _Toc12257 \h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26</w:t>
          </w:r>
          <w:r>
            <w:rPr>
              <w:rFonts w:hint="eastAsia" w:ascii="微软雅黑" w:hAnsi="微软雅黑" w:eastAsia="微软雅黑" w:cs="微软雅黑"/>
              <w:b w:val="0"/>
              <w:bCs w:val="0"/>
              <w:sz w:val="28"/>
              <w:szCs w:val="28"/>
            </w:rPr>
            <w:fldChar w:fldCharType="end"/>
          </w:r>
          <w:r>
            <w:rPr>
              <w:rFonts w:hint="eastAsia" w:ascii="微软雅黑" w:hAnsi="微软雅黑" w:eastAsia="微软雅黑" w:cs="微软雅黑"/>
              <w:b w:val="0"/>
              <w:bCs w:val="0"/>
              <w:sz w:val="28"/>
              <w:szCs w:val="28"/>
            </w:rPr>
            <w:fldChar w:fldCharType="end"/>
          </w:r>
        </w:p>
        <w:p>
          <w:pPr>
            <w:pStyle w:val="11"/>
            <w:tabs>
              <w:tab w:val="right" w:leader="dot" w:pos="9072"/>
            </w:tabs>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HYPERLINK \l _Toc30690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五、合作方式</w:t>
          </w:r>
          <w:r>
            <w:rPr>
              <w:rFonts w:hint="eastAsia" w:ascii="微软雅黑" w:hAnsi="微软雅黑" w:eastAsia="微软雅黑" w:cs="微软雅黑"/>
              <w:b w:val="0"/>
              <w:bCs w:val="0"/>
              <w:sz w:val="28"/>
              <w:szCs w:val="28"/>
            </w:rPr>
            <w:tab/>
          </w: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PAGEREF _Toc30690 \h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26</w:t>
          </w:r>
          <w:r>
            <w:rPr>
              <w:rFonts w:hint="eastAsia" w:ascii="微软雅黑" w:hAnsi="微软雅黑" w:eastAsia="微软雅黑" w:cs="微软雅黑"/>
              <w:b w:val="0"/>
              <w:bCs w:val="0"/>
              <w:sz w:val="28"/>
              <w:szCs w:val="28"/>
            </w:rPr>
            <w:fldChar w:fldCharType="end"/>
          </w:r>
          <w:r>
            <w:rPr>
              <w:rFonts w:hint="eastAsia" w:ascii="微软雅黑" w:hAnsi="微软雅黑" w:eastAsia="微软雅黑" w:cs="微软雅黑"/>
              <w:b w:val="0"/>
              <w:bCs w:val="0"/>
              <w:sz w:val="28"/>
              <w:szCs w:val="28"/>
            </w:rPr>
            <w:fldChar w:fldCharType="end"/>
          </w:r>
        </w:p>
        <w:p>
          <w:pPr>
            <w:pStyle w:val="11"/>
            <w:tabs>
              <w:tab w:val="right" w:leader="dot" w:pos="9072"/>
            </w:tabs>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HYPERLINK \l _Toc19766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六、联系方式</w:t>
          </w:r>
          <w:r>
            <w:rPr>
              <w:rFonts w:hint="eastAsia" w:ascii="微软雅黑" w:hAnsi="微软雅黑" w:eastAsia="微软雅黑" w:cs="微软雅黑"/>
              <w:b w:val="0"/>
              <w:bCs w:val="0"/>
              <w:sz w:val="28"/>
              <w:szCs w:val="28"/>
            </w:rPr>
            <w:tab/>
          </w: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PAGEREF _Toc19766 \h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26</w:t>
          </w:r>
          <w:r>
            <w:rPr>
              <w:rFonts w:hint="eastAsia" w:ascii="微软雅黑" w:hAnsi="微软雅黑" w:eastAsia="微软雅黑" w:cs="微软雅黑"/>
              <w:b w:val="0"/>
              <w:bCs w:val="0"/>
              <w:sz w:val="28"/>
              <w:szCs w:val="28"/>
            </w:rPr>
            <w:fldChar w:fldCharType="end"/>
          </w:r>
          <w:r>
            <w:rPr>
              <w:rFonts w:hint="eastAsia" w:ascii="微软雅黑" w:hAnsi="微软雅黑" w:eastAsia="微软雅黑" w:cs="微软雅黑"/>
              <w:b w:val="0"/>
              <w:bCs w:val="0"/>
              <w:sz w:val="28"/>
              <w:szCs w:val="28"/>
            </w:rPr>
            <w:fldChar w:fldCharType="end"/>
          </w:r>
        </w:p>
        <w:p>
          <w:pPr>
            <w:pStyle w:val="11"/>
            <w:tabs>
              <w:tab w:val="right" w:leader="dot" w:pos="9072"/>
            </w:tabs>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HYPERLINK \l _Toc32229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济南陆港大厦</w:t>
          </w:r>
          <w:r>
            <w:rPr>
              <w:rFonts w:hint="eastAsia" w:ascii="微软雅黑" w:hAnsi="微软雅黑" w:eastAsia="微软雅黑" w:cs="微软雅黑"/>
              <w:b w:val="0"/>
              <w:bCs w:val="0"/>
              <w:sz w:val="28"/>
              <w:szCs w:val="28"/>
            </w:rPr>
            <w:tab/>
          </w: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PAGEREF _Toc32229 \h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27</w:t>
          </w:r>
          <w:r>
            <w:rPr>
              <w:rFonts w:hint="eastAsia" w:ascii="微软雅黑" w:hAnsi="微软雅黑" w:eastAsia="微软雅黑" w:cs="微软雅黑"/>
              <w:b w:val="0"/>
              <w:bCs w:val="0"/>
              <w:sz w:val="28"/>
              <w:szCs w:val="28"/>
            </w:rPr>
            <w:fldChar w:fldCharType="end"/>
          </w:r>
          <w:r>
            <w:rPr>
              <w:rFonts w:hint="eastAsia" w:ascii="微软雅黑" w:hAnsi="微软雅黑" w:eastAsia="微软雅黑" w:cs="微软雅黑"/>
              <w:b w:val="0"/>
              <w:bCs w:val="0"/>
              <w:sz w:val="28"/>
              <w:szCs w:val="28"/>
            </w:rPr>
            <w:fldChar w:fldCharType="end"/>
          </w:r>
        </w:p>
        <w:p>
          <w:pPr>
            <w:pStyle w:val="11"/>
            <w:tabs>
              <w:tab w:val="right" w:leader="dot" w:pos="9072"/>
            </w:tabs>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HYPERLINK \l _Toc28609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i w:val="0"/>
              <w:iCs w:val="0"/>
              <w:caps w:val="0"/>
              <w:spacing w:val="0"/>
              <w:sz w:val="28"/>
              <w:szCs w:val="28"/>
            </w:rPr>
            <w:t>一、项目名称</w:t>
          </w:r>
          <w:r>
            <w:rPr>
              <w:rFonts w:hint="eastAsia" w:ascii="微软雅黑" w:hAnsi="微软雅黑" w:eastAsia="微软雅黑" w:cs="微软雅黑"/>
              <w:b w:val="0"/>
              <w:bCs w:val="0"/>
              <w:sz w:val="28"/>
              <w:szCs w:val="28"/>
            </w:rPr>
            <w:tab/>
          </w: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PAGEREF _Toc28609 \h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27</w:t>
          </w:r>
          <w:r>
            <w:rPr>
              <w:rFonts w:hint="eastAsia" w:ascii="微软雅黑" w:hAnsi="微软雅黑" w:eastAsia="微软雅黑" w:cs="微软雅黑"/>
              <w:b w:val="0"/>
              <w:bCs w:val="0"/>
              <w:sz w:val="28"/>
              <w:szCs w:val="28"/>
            </w:rPr>
            <w:fldChar w:fldCharType="end"/>
          </w:r>
          <w:r>
            <w:rPr>
              <w:rFonts w:hint="eastAsia" w:ascii="微软雅黑" w:hAnsi="微软雅黑" w:eastAsia="微软雅黑" w:cs="微软雅黑"/>
              <w:b w:val="0"/>
              <w:bCs w:val="0"/>
              <w:sz w:val="28"/>
              <w:szCs w:val="28"/>
            </w:rPr>
            <w:fldChar w:fldCharType="end"/>
          </w:r>
        </w:p>
        <w:p>
          <w:pPr>
            <w:pStyle w:val="11"/>
            <w:tabs>
              <w:tab w:val="right" w:leader="dot" w:pos="9072"/>
            </w:tabs>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HYPERLINK \l _Toc3233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i w:val="0"/>
              <w:iCs w:val="0"/>
              <w:caps w:val="0"/>
              <w:spacing w:val="0"/>
              <w:sz w:val="28"/>
              <w:szCs w:val="28"/>
            </w:rPr>
            <w:t>二、园区(或楼宇)概况</w:t>
          </w:r>
          <w:r>
            <w:rPr>
              <w:rFonts w:hint="eastAsia" w:ascii="微软雅黑" w:hAnsi="微软雅黑" w:eastAsia="微软雅黑" w:cs="微软雅黑"/>
              <w:b w:val="0"/>
              <w:bCs w:val="0"/>
              <w:sz w:val="28"/>
              <w:szCs w:val="28"/>
            </w:rPr>
            <w:tab/>
          </w: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PAGEREF _Toc3233 \h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27</w:t>
          </w:r>
          <w:r>
            <w:rPr>
              <w:rFonts w:hint="eastAsia" w:ascii="微软雅黑" w:hAnsi="微软雅黑" w:eastAsia="微软雅黑" w:cs="微软雅黑"/>
              <w:b w:val="0"/>
              <w:bCs w:val="0"/>
              <w:sz w:val="28"/>
              <w:szCs w:val="28"/>
            </w:rPr>
            <w:fldChar w:fldCharType="end"/>
          </w:r>
          <w:r>
            <w:rPr>
              <w:rFonts w:hint="eastAsia" w:ascii="微软雅黑" w:hAnsi="微软雅黑" w:eastAsia="微软雅黑" w:cs="微软雅黑"/>
              <w:b w:val="0"/>
              <w:bCs w:val="0"/>
              <w:sz w:val="28"/>
              <w:szCs w:val="28"/>
            </w:rPr>
            <w:fldChar w:fldCharType="end"/>
          </w:r>
        </w:p>
        <w:p>
          <w:pPr>
            <w:pStyle w:val="11"/>
            <w:tabs>
              <w:tab w:val="right" w:leader="dot" w:pos="9072"/>
            </w:tabs>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HYPERLINK \l _Toc9240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i w:val="0"/>
              <w:iCs w:val="0"/>
              <w:caps w:val="0"/>
              <w:spacing w:val="0"/>
              <w:sz w:val="28"/>
              <w:szCs w:val="28"/>
            </w:rPr>
            <w:t>三、产业发展基础或定位</w:t>
          </w:r>
          <w:r>
            <w:rPr>
              <w:rFonts w:hint="eastAsia" w:ascii="微软雅黑" w:hAnsi="微软雅黑" w:eastAsia="微软雅黑" w:cs="微软雅黑"/>
              <w:b w:val="0"/>
              <w:bCs w:val="0"/>
              <w:sz w:val="28"/>
              <w:szCs w:val="28"/>
            </w:rPr>
            <w:tab/>
          </w: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PAGEREF _Toc9240 \h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27</w:t>
          </w:r>
          <w:r>
            <w:rPr>
              <w:rFonts w:hint="eastAsia" w:ascii="微软雅黑" w:hAnsi="微软雅黑" w:eastAsia="微软雅黑" w:cs="微软雅黑"/>
              <w:b w:val="0"/>
              <w:bCs w:val="0"/>
              <w:sz w:val="28"/>
              <w:szCs w:val="28"/>
            </w:rPr>
            <w:fldChar w:fldCharType="end"/>
          </w:r>
          <w:r>
            <w:rPr>
              <w:rFonts w:hint="eastAsia" w:ascii="微软雅黑" w:hAnsi="微软雅黑" w:eastAsia="微软雅黑" w:cs="微软雅黑"/>
              <w:b w:val="0"/>
              <w:bCs w:val="0"/>
              <w:sz w:val="28"/>
              <w:szCs w:val="28"/>
            </w:rPr>
            <w:fldChar w:fldCharType="end"/>
          </w:r>
        </w:p>
        <w:p>
          <w:pPr>
            <w:pStyle w:val="11"/>
            <w:tabs>
              <w:tab w:val="right" w:leader="dot" w:pos="9072"/>
            </w:tabs>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HYPERLINK \l _Toc795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i w:val="0"/>
              <w:iCs w:val="0"/>
              <w:caps w:val="0"/>
              <w:spacing w:val="0"/>
              <w:sz w:val="28"/>
              <w:szCs w:val="28"/>
            </w:rPr>
            <w:t>四、基础设施及配套情况</w:t>
          </w:r>
          <w:r>
            <w:rPr>
              <w:rFonts w:hint="eastAsia" w:ascii="微软雅黑" w:hAnsi="微软雅黑" w:eastAsia="微软雅黑" w:cs="微软雅黑"/>
              <w:b w:val="0"/>
              <w:bCs w:val="0"/>
              <w:sz w:val="28"/>
              <w:szCs w:val="28"/>
            </w:rPr>
            <w:tab/>
          </w: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PAGEREF _Toc795 \h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28</w:t>
          </w:r>
          <w:r>
            <w:rPr>
              <w:rFonts w:hint="eastAsia" w:ascii="微软雅黑" w:hAnsi="微软雅黑" w:eastAsia="微软雅黑" w:cs="微软雅黑"/>
              <w:b w:val="0"/>
              <w:bCs w:val="0"/>
              <w:sz w:val="28"/>
              <w:szCs w:val="28"/>
            </w:rPr>
            <w:fldChar w:fldCharType="end"/>
          </w:r>
          <w:r>
            <w:rPr>
              <w:rFonts w:hint="eastAsia" w:ascii="微软雅黑" w:hAnsi="微软雅黑" w:eastAsia="微软雅黑" w:cs="微软雅黑"/>
              <w:b w:val="0"/>
              <w:bCs w:val="0"/>
              <w:sz w:val="28"/>
              <w:szCs w:val="28"/>
            </w:rPr>
            <w:fldChar w:fldCharType="end"/>
          </w:r>
        </w:p>
        <w:p>
          <w:pPr>
            <w:pStyle w:val="11"/>
            <w:tabs>
              <w:tab w:val="right" w:leader="dot" w:pos="9072"/>
            </w:tabs>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HYPERLINK \l _Toc26316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i w:val="0"/>
              <w:iCs w:val="0"/>
              <w:caps w:val="0"/>
              <w:spacing w:val="0"/>
              <w:sz w:val="28"/>
              <w:szCs w:val="28"/>
            </w:rPr>
            <w:t>六、联系方式</w:t>
          </w:r>
          <w:r>
            <w:rPr>
              <w:rFonts w:hint="eastAsia" w:ascii="微软雅黑" w:hAnsi="微软雅黑" w:eastAsia="微软雅黑" w:cs="微软雅黑"/>
              <w:b w:val="0"/>
              <w:bCs w:val="0"/>
              <w:sz w:val="28"/>
              <w:szCs w:val="28"/>
            </w:rPr>
            <w:tab/>
          </w:r>
          <w:r>
            <w:rPr>
              <w:rFonts w:hint="eastAsia" w:ascii="微软雅黑" w:hAnsi="微软雅黑" w:eastAsia="微软雅黑" w:cs="微软雅黑"/>
              <w:b w:val="0"/>
              <w:bCs w:val="0"/>
              <w:sz w:val="28"/>
              <w:szCs w:val="28"/>
            </w:rPr>
            <w:fldChar w:fldCharType="begin"/>
          </w:r>
          <w:r>
            <w:rPr>
              <w:rFonts w:hint="eastAsia" w:ascii="微软雅黑" w:hAnsi="微软雅黑" w:eastAsia="微软雅黑" w:cs="微软雅黑"/>
              <w:b w:val="0"/>
              <w:bCs w:val="0"/>
              <w:sz w:val="28"/>
              <w:szCs w:val="28"/>
            </w:rPr>
            <w:instrText xml:space="preserve"> PAGEREF _Toc26316 \h </w:instrText>
          </w:r>
          <w:r>
            <w:rPr>
              <w:rFonts w:hint="eastAsia" w:ascii="微软雅黑" w:hAnsi="微软雅黑" w:eastAsia="微软雅黑" w:cs="微软雅黑"/>
              <w:b w:val="0"/>
              <w:bCs w:val="0"/>
              <w:sz w:val="28"/>
              <w:szCs w:val="28"/>
            </w:rPr>
            <w:fldChar w:fldCharType="separate"/>
          </w:r>
          <w:r>
            <w:rPr>
              <w:rFonts w:hint="eastAsia" w:ascii="微软雅黑" w:hAnsi="微软雅黑" w:eastAsia="微软雅黑" w:cs="微软雅黑"/>
              <w:b w:val="0"/>
              <w:bCs w:val="0"/>
              <w:sz w:val="28"/>
              <w:szCs w:val="28"/>
            </w:rPr>
            <w:t>28</w:t>
          </w:r>
          <w:r>
            <w:rPr>
              <w:rFonts w:hint="eastAsia" w:ascii="微软雅黑" w:hAnsi="微软雅黑" w:eastAsia="微软雅黑" w:cs="微软雅黑"/>
              <w:b w:val="0"/>
              <w:bCs w:val="0"/>
              <w:sz w:val="28"/>
              <w:szCs w:val="28"/>
            </w:rPr>
            <w:fldChar w:fldCharType="end"/>
          </w:r>
          <w:r>
            <w:rPr>
              <w:rFonts w:hint="eastAsia" w:ascii="微软雅黑" w:hAnsi="微软雅黑" w:eastAsia="微软雅黑" w:cs="微软雅黑"/>
              <w:b w:val="0"/>
              <w:bCs w:val="0"/>
              <w:sz w:val="28"/>
              <w:szCs w:val="28"/>
            </w:rPr>
            <w:fldChar w:fldCharType="end"/>
          </w:r>
        </w:p>
        <w:p>
          <w:pPr>
            <w:rPr>
              <w:b/>
            </w:rPr>
          </w:pPr>
          <w:r>
            <w:rPr>
              <w:rFonts w:hint="eastAsia" w:ascii="微软雅黑" w:hAnsi="微软雅黑" w:eastAsia="微软雅黑" w:cs="微软雅黑"/>
              <w:b w:val="0"/>
              <w:bCs w:val="0"/>
              <w:sz w:val="28"/>
              <w:szCs w:val="28"/>
            </w:rPr>
            <w:fldChar w:fldCharType="end"/>
          </w:r>
        </w:p>
      </w:sdtContent>
    </w:sdt>
    <w:p>
      <w:pPr>
        <w:rPr>
          <w:b/>
        </w:rPr>
      </w:pPr>
    </w:p>
    <w:p>
      <w:pPr>
        <w:rPr>
          <w:b/>
        </w:rPr>
      </w:pPr>
    </w:p>
    <w:p>
      <w:pPr>
        <w:rPr>
          <w:b/>
        </w:rPr>
      </w:pPr>
    </w:p>
    <w:p>
      <w:pPr>
        <w:pStyle w:val="6"/>
        <w:keepNext w:val="0"/>
        <w:keepLines w:val="0"/>
        <w:widowControl/>
        <w:suppressLineNumbers w:val="0"/>
        <w:spacing w:before="165" w:beforeAutospacing="0" w:after="0" w:afterAutospacing="0" w:line="360" w:lineRule="atLeast"/>
        <w:ind w:left="0" w:right="255" w:firstLine="885"/>
        <w:jc w:val="center"/>
        <w:outlineLvl w:val="0"/>
        <w:rPr>
          <w:rFonts w:ascii="方正小标宋简体" w:hAnsi="方正小标宋简体" w:eastAsia="方正小标宋简体" w:cs="方正小标宋简体"/>
          <w:b/>
          <w:bCs/>
          <w:sz w:val="44"/>
          <w:szCs w:val="44"/>
        </w:rPr>
      </w:pPr>
      <w:bookmarkStart w:id="0" w:name="_Toc233"/>
    </w:p>
    <w:p>
      <w:pPr>
        <w:pStyle w:val="6"/>
        <w:keepNext w:val="0"/>
        <w:keepLines w:val="0"/>
        <w:widowControl/>
        <w:suppressLineNumbers w:val="0"/>
        <w:spacing w:before="165" w:beforeAutospacing="0" w:after="0" w:afterAutospacing="0" w:line="360" w:lineRule="atLeast"/>
        <w:ind w:left="0" w:right="255" w:firstLine="885"/>
        <w:jc w:val="center"/>
        <w:outlineLvl w:val="0"/>
        <w:rPr>
          <w:rFonts w:ascii="方正小标宋简体" w:hAnsi="方正小标宋简体" w:eastAsia="方正小标宋简体" w:cs="方正小标宋简体"/>
          <w:b/>
          <w:bCs/>
          <w:sz w:val="44"/>
          <w:szCs w:val="44"/>
        </w:rPr>
      </w:pPr>
    </w:p>
    <w:p>
      <w:pPr>
        <w:pStyle w:val="6"/>
        <w:keepNext w:val="0"/>
        <w:keepLines w:val="0"/>
        <w:widowControl/>
        <w:suppressLineNumbers w:val="0"/>
        <w:spacing w:before="165" w:beforeAutospacing="0" w:after="0" w:afterAutospacing="0" w:line="360" w:lineRule="atLeast"/>
        <w:ind w:right="255"/>
        <w:jc w:val="center"/>
        <w:outlineLvl w:val="0"/>
        <w:rPr>
          <w:rFonts w:ascii="方正小标宋简体" w:hAnsi="方正小标宋简体" w:eastAsia="方正小标宋简体" w:cs="方正小标宋简体"/>
          <w:b/>
          <w:bCs/>
          <w:sz w:val="44"/>
          <w:szCs w:val="44"/>
        </w:rPr>
        <w:sectPr>
          <w:pgSz w:w="11906" w:h="16838"/>
          <w:pgMar w:top="1417" w:right="1417" w:bottom="1417" w:left="1417" w:header="851" w:footer="992" w:gutter="0"/>
          <w:cols w:space="0" w:num="1"/>
          <w:rtlGutter w:val="0"/>
          <w:docGrid w:type="lines" w:linePitch="312" w:charSpace="0"/>
        </w:sectPr>
      </w:pPr>
    </w:p>
    <w:p>
      <w:pPr>
        <w:pStyle w:val="6"/>
        <w:keepNext w:val="0"/>
        <w:keepLines w:val="0"/>
        <w:widowControl/>
        <w:suppressLineNumbers w:val="0"/>
        <w:spacing w:before="165" w:beforeAutospacing="0" w:after="0" w:afterAutospacing="0" w:line="360" w:lineRule="atLeast"/>
        <w:ind w:right="255"/>
        <w:jc w:val="center"/>
        <w:outlineLvl w:val="0"/>
        <w:rPr>
          <w:b/>
          <w:bCs/>
          <w:sz w:val="44"/>
          <w:szCs w:val="44"/>
        </w:rPr>
      </w:pPr>
      <w:r>
        <w:rPr>
          <w:rFonts w:ascii="方正小标宋简体" w:hAnsi="方正小标宋简体" w:eastAsia="方正小标宋简体" w:cs="方正小标宋简体"/>
          <w:b/>
          <w:bCs/>
          <w:sz w:val="44"/>
          <w:szCs w:val="44"/>
        </w:rPr>
        <w:t>普洛斯济南天桥冷链及供应链管理项目</w:t>
      </w:r>
      <w:bookmarkEnd w:id="0"/>
    </w:p>
    <w:p>
      <w:pPr>
        <w:pStyle w:val="6"/>
        <w:keepNext w:val="0"/>
        <w:keepLines w:val="0"/>
        <w:widowControl/>
        <w:suppressLineNumbers w:val="0"/>
        <w:spacing w:before="0" w:beforeAutospacing="0" w:after="0" w:afterAutospacing="0" w:line="315" w:lineRule="atLeast"/>
        <w:ind w:left="0" w:right="0" w:firstLine="645"/>
        <w:outlineLvl w:val="0"/>
        <w:rPr>
          <w:sz w:val="32"/>
          <w:szCs w:val="32"/>
        </w:rPr>
      </w:pPr>
      <w:bookmarkStart w:id="1" w:name="_Toc3773"/>
      <w:r>
        <w:rPr>
          <w:rFonts w:ascii="黑体" w:hAnsi="宋体" w:eastAsia="黑体" w:cs="黑体"/>
          <w:sz w:val="32"/>
          <w:szCs w:val="32"/>
        </w:rPr>
        <w:t>一、项目名称</w:t>
      </w:r>
      <w:bookmarkEnd w:id="1"/>
    </w:p>
    <w:p>
      <w:pPr>
        <w:pStyle w:val="6"/>
        <w:keepNext w:val="0"/>
        <w:keepLines w:val="0"/>
        <w:widowControl/>
        <w:suppressLineNumbers w:val="0"/>
        <w:spacing w:before="0" w:beforeAutospacing="0" w:after="0" w:afterAutospacing="0" w:line="360" w:lineRule="atLeast"/>
        <w:ind w:left="720" w:right="0" w:firstLine="0"/>
        <w:rPr>
          <w:sz w:val="32"/>
          <w:szCs w:val="32"/>
        </w:rPr>
      </w:pPr>
      <w:r>
        <w:rPr>
          <w:rFonts w:ascii="仿宋_GB2312" w:eastAsia="仿宋_GB2312" w:cs="仿宋_GB2312"/>
          <w:sz w:val="32"/>
          <w:szCs w:val="32"/>
        </w:rPr>
        <w:t>普洛斯济南天桥冷链及供应链管理项目</w:t>
      </w:r>
    </w:p>
    <w:p>
      <w:pPr>
        <w:pStyle w:val="6"/>
        <w:keepNext w:val="0"/>
        <w:keepLines w:val="0"/>
        <w:widowControl/>
        <w:suppressLineNumbers w:val="0"/>
        <w:spacing w:before="0" w:beforeAutospacing="0" w:after="0" w:afterAutospacing="0" w:line="315" w:lineRule="atLeast"/>
        <w:ind w:left="0" w:right="0"/>
        <w:rPr>
          <w:sz w:val="32"/>
          <w:szCs w:val="32"/>
        </w:rPr>
      </w:pPr>
      <w:r>
        <w:rPr>
          <w:rFonts w:hint="eastAsia" w:ascii="宋体" w:hAnsi="宋体" w:eastAsia="宋体" w:cs="宋体"/>
          <w:sz w:val="32"/>
          <w:szCs w:val="32"/>
        </w:rPr>
        <w:t>    </w:t>
      </w:r>
      <w:r>
        <w:rPr>
          <w:rFonts w:hint="eastAsia" w:ascii="黑体" w:hAnsi="宋体" w:eastAsia="黑体" w:cs="黑体"/>
          <w:sz w:val="32"/>
          <w:szCs w:val="32"/>
        </w:rPr>
        <w:t>二、园区</w:t>
      </w:r>
      <w:r>
        <w:rPr>
          <w:rFonts w:hint="eastAsia" w:ascii="宋体" w:hAnsi="宋体" w:eastAsia="宋体" w:cs="宋体"/>
          <w:sz w:val="32"/>
          <w:szCs w:val="32"/>
        </w:rPr>
        <w:t>(</w:t>
      </w:r>
      <w:r>
        <w:rPr>
          <w:rFonts w:hint="eastAsia" w:ascii="黑体" w:hAnsi="宋体" w:eastAsia="黑体" w:cs="黑体"/>
          <w:sz w:val="32"/>
          <w:szCs w:val="32"/>
        </w:rPr>
        <w:t>或楼宇</w:t>
      </w:r>
      <w:r>
        <w:rPr>
          <w:rFonts w:hint="eastAsia" w:ascii="宋体" w:hAnsi="宋体" w:eastAsia="宋体" w:cs="宋体"/>
          <w:sz w:val="32"/>
          <w:szCs w:val="32"/>
        </w:rPr>
        <w:t>)</w:t>
      </w:r>
      <w:r>
        <w:rPr>
          <w:rFonts w:hint="eastAsia" w:ascii="黑体" w:hAnsi="宋体" w:eastAsia="黑体" w:cs="黑体"/>
          <w:sz w:val="32"/>
          <w:szCs w:val="32"/>
        </w:rPr>
        <w:t>概况</w:t>
      </w:r>
    </w:p>
    <w:p>
      <w:pPr>
        <w:pStyle w:val="6"/>
        <w:keepNext w:val="0"/>
        <w:keepLines w:val="0"/>
        <w:widowControl/>
        <w:suppressLineNumbers w:val="0"/>
        <w:spacing w:before="0" w:beforeAutospacing="0" w:after="0" w:afterAutospacing="0" w:line="315" w:lineRule="atLeast"/>
        <w:ind w:left="135" w:right="0" w:firstLine="645"/>
        <w:rPr>
          <w:sz w:val="32"/>
          <w:szCs w:val="32"/>
        </w:rPr>
      </w:pPr>
      <w:r>
        <w:rPr>
          <w:rFonts w:hint="default" w:ascii="仿宋_GB2312" w:eastAsia="仿宋_GB2312" w:cs="仿宋_GB2312"/>
          <w:sz w:val="32"/>
          <w:szCs w:val="32"/>
        </w:rPr>
        <w:t>该项目单位是济南普桥供应链管理有限公司，公司成立于</w:t>
      </w:r>
      <w:r>
        <w:rPr>
          <w:rFonts w:hint="eastAsia" w:ascii="宋体" w:hAnsi="宋体" w:eastAsia="宋体" w:cs="宋体"/>
          <w:sz w:val="32"/>
          <w:szCs w:val="32"/>
        </w:rPr>
        <w:t>2020</w:t>
      </w:r>
      <w:r>
        <w:rPr>
          <w:rFonts w:hint="default" w:ascii="仿宋_GB2312" w:eastAsia="仿宋_GB2312" w:cs="仿宋_GB2312"/>
          <w:sz w:val="32"/>
          <w:szCs w:val="32"/>
        </w:rPr>
        <w:t>年</w:t>
      </w:r>
      <w:r>
        <w:rPr>
          <w:rFonts w:hint="eastAsia" w:ascii="宋体" w:hAnsi="宋体" w:eastAsia="宋体" w:cs="宋体"/>
          <w:sz w:val="32"/>
          <w:szCs w:val="32"/>
        </w:rPr>
        <w:t>11</w:t>
      </w:r>
      <w:r>
        <w:rPr>
          <w:rFonts w:hint="default" w:ascii="仿宋_GB2312" w:eastAsia="仿宋_GB2312" w:cs="仿宋_GB2312"/>
          <w:sz w:val="32"/>
          <w:szCs w:val="32"/>
        </w:rPr>
        <w:t>月</w:t>
      </w:r>
      <w:r>
        <w:rPr>
          <w:rFonts w:hint="eastAsia" w:ascii="宋体" w:hAnsi="宋体" w:eastAsia="宋体" w:cs="宋体"/>
          <w:sz w:val="32"/>
          <w:szCs w:val="32"/>
        </w:rPr>
        <w:t>27</w:t>
      </w:r>
      <w:r>
        <w:rPr>
          <w:rFonts w:hint="default" w:ascii="仿宋_GB2312" w:eastAsia="仿宋_GB2312" w:cs="仿宋_GB2312"/>
          <w:sz w:val="32"/>
          <w:szCs w:val="32"/>
        </w:rPr>
        <w:t>日，注册资本</w:t>
      </w:r>
      <w:r>
        <w:rPr>
          <w:rFonts w:hint="eastAsia" w:ascii="宋体" w:hAnsi="宋体" w:eastAsia="宋体" w:cs="宋体"/>
          <w:sz w:val="32"/>
          <w:szCs w:val="32"/>
        </w:rPr>
        <w:t>3.52</w:t>
      </w:r>
      <w:r>
        <w:rPr>
          <w:rFonts w:hint="default" w:ascii="仿宋_GB2312" w:eastAsia="仿宋_GB2312" w:cs="仿宋_GB2312"/>
          <w:sz w:val="32"/>
          <w:szCs w:val="32"/>
        </w:rPr>
        <w:t>亿元人民币。济南普桥供应链管理有限公司的投资人是普洛斯投资（上海）有限公司。普洛斯是全球领先的专注于物流、不动产、基础设施、金融及相关科技领域的投资管理与商业创新公司。结合投资与运营的专长，普洛斯致力于为客户投资者持续地创造价值。普洛斯的业务遍及巴西、中国、欧洲、印度、日本、美国及越南，在不动产及私募股权基金领域的资产管理规模达</w:t>
      </w:r>
      <w:r>
        <w:rPr>
          <w:rFonts w:hint="eastAsia" w:ascii="宋体" w:hAnsi="宋体" w:eastAsia="宋体" w:cs="宋体"/>
          <w:sz w:val="32"/>
          <w:szCs w:val="32"/>
        </w:rPr>
        <w:t>970</w:t>
      </w:r>
      <w:r>
        <w:rPr>
          <w:rFonts w:hint="default" w:ascii="仿宋_GB2312" w:eastAsia="仿宋_GB2312" w:cs="仿宋_GB2312"/>
          <w:sz w:val="32"/>
          <w:szCs w:val="32"/>
        </w:rPr>
        <w:t>亿美元。普洛斯在中国的资产规模超过</w:t>
      </w:r>
      <w:r>
        <w:rPr>
          <w:rFonts w:hint="eastAsia" w:ascii="宋体" w:hAnsi="宋体" w:eastAsia="宋体" w:cs="宋体"/>
          <w:sz w:val="32"/>
          <w:szCs w:val="32"/>
        </w:rPr>
        <w:t>300</w:t>
      </w:r>
      <w:r>
        <w:rPr>
          <w:rFonts w:hint="default" w:ascii="仿宋_GB2312" w:eastAsia="仿宋_GB2312" w:cs="仿宋_GB2312"/>
          <w:sz w:val="32"/>
          <w:szCs w:val="32"/>
        </w:rPr>
        <w:t>亿美元，并在</w:t>
      </w:r>
      <w:r>
        <w:rPr>
          <w:rFonts w:hint="eastAsia" w:ascii="宋体" w:hAnsi="宋体" w:eastAsia="宋体" w:cs="宋体"/>
          <w:sz w:val="32"/>
          <w:szCs w:val="32"/>
        </w:rPr>
        <w:t>43</w:t>
      </w:r>
      <w:r>
        <w:rPr>
          <w:rFonts w:hint="default" w:ascii="仿宋_GB2312" w:eastAsia="仿宋_GB2312" w:cs="仿宋_GB2312"/>
          <w:sz w:val="32"/>
          <w:szCs w:val="32"/>
        </w:rPr>
        <w:t>个战略性区域市场投资、开发和管理着近</w:t>
      </w:r>
      <w:r>
        <w:rPr>
          <w:rFonts w:hint="eastAsia" w:ascii="宋体" w:hAnsi="宋体" w:eastAsia="宋体" w:cs="宋体"/>
          <w:sz w:val="32"/>
          <w:szCs w:val="32"/>
        </w:rPr>
        <w:t>400</w:t>
      </w:r>
      <w:r>
        <w:rPr>
          <w:rFonts w:hint="default" w:ascii="仿宋_GB2312" w:eastAsia="仿宋_GB2312" w:cs="仿宋_GB2312"/>
          <w:sz w:val="32"/>
          <w:szCs w:val="32"/>
        </w:rPr>
        <w:t>处物流、制造、数据中心、科创办公类设施。普洛斯通过股权投资、金融科技及数据科技平台，不断提高资产运营效率，提升资产价值。</w:t>
      </w:r>
    </w:p>
    <w:p>
      <w:pPr>
        <w:pStyle w:val="6"/>
        <w:keepNext w:val="0"/>
        <w:keepLines w:val="0"/>
        <w:widowControl/>
        <w:suppressLineNumbers w:val="0"/>
        <w:spacing w:before="0" w:beforeAutospacing="0" w:after="0" w:afterAutospacing="0" w:line="315" w:lineRule="atLeast"/>
        <w:ind w:left="0" w:right="0" w:firstLine="645"/>
        <w:outlineLvl w:val="0"/>
        <w:rPr>
          <w:sz w:val="32"/>
          <w:szCs w:val="32"/>
        </w:rPr>
      </w:pPr>
      <w:bookmarkStart w:id="2" w:name="_Toc11678"/>
      <w:r>
        <w:rPr>
          <w:rFonts w:hint="eastAsia" w:ascii="黑体" w:hAnsi="宋体" w:eastAsia="黑体" w:cs="黑体"/>
          <w:sz w:val="32"/>
          <w:szCs w:val="32"/>
        </w:rPr>
        <w:t>三、产业发展基础或定位</w:t>
      </w:r>
      <w:bookmarkEnd w:id="2"/>
    </w:p>
    <w:p>
      <w:pPr>
        <w:pStyle w:val="6"/>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普洛斯济南天桥冷链及供应链管理项目主要规划建设现代高端综合物流仓储区、电商企业专用定制仓及城市快消品流通区、智能化仓储及配送设施设备区、智慧物流产业链配套服务区、冷链及医药专业仓储设施服务区等板块，着力打造集自动化、信息化、定制化为一体，满足并支撑现代智慧物流仓储的综合物流园区。</w:t>
      </w:r>
    </w:p>
    <w:p>
      <w:pPr>
        <w:pStyle w:val="6"/>
        <w:keepNext w:val="0"/>
        <w:keepLines w:val="0"/>
        <w:widowControl/>
        <w:suppressLineNumbers w:val="0"/>
        <w:spacing w:before="0" w:beforeAutospacing="0" w:after="0" w:afterAutospacing="0" w:line="315" w:lineRule="atLeast"/>
        <w:ind w:left="0" w:right="0" w:firstLine="645"/>
        <w:outlineLvl w:val="0"/>
        <w:rPr>
          <w:sz w:val="32"/>
          <w:szCs w:val="32"/>
        </w:rPr>
      </w:pPr>
      <w:bookmarkStart w:id="3" w:name="_Toc25941"/>
      <w:r>
        <w:rPr>
          <w:rFonts w:hint="eastAsia" w:ascii="黑体" w:hAnsi="宋体" w:eastAsia="黑体" w:cs="黑体"/>
          <w:sz w:val="32"/>
          <w:szCs w:val="32"/>
        </w:rPr>
        <w:t>四、基础设施及配套情况</w:t>
      </w:r>
      <w:bookmarkEnd w:id="3"/>
    </w:p>
    <w:p>
      <w:pPr>
        <w:pStyle w:val="6"/>
        <w:keepNext w:val="0"/>
        <w:keepLines w:val="0"/>
        <w:widowControl/>
        <w:suppressLineNumbers w:val="0"/>
        <w:spacing w:before="0" w:beforeAutospacing="0" w:after="0" w:afterAutospacing="0" w:line="360" w:lineRule="atLeast"/>
        <w:ind w:left="0" w:right="0" w:firstLine="645"/>
        <w:rPr>
          <w:sz w:val="32"/>
          <w:szCs w:val="32"/>
        </w:rPr>
      </w:pPr>
      <w:r>
        <w:rPr>
          <w:rFonts w:hint="default" w:ascii="仿宋_GB2312" w:eastAsia="仿宋_GB2312" w:cs="仿宋_GB2312"/>
          <w:sz w:val="32"/>
          <w:szCs w:val="32"/>
        </w:rPr>
        <w:t>该项目位于济南新材料产业园区，项目总投资</w:t>
      </w:r>
      <w:r>
        <w:rPr>
          <w:sz w:val="32"/>
          <w:szCs w:val="32"/>
        </w:rPr>
        <w:t>7.3</w:t>
      </w:r>
      <w:r>
        <w:rPr>
          <w:rFonts w:hint="default" w:ascii="仿宋_GB2312" w:eastAsia="仿宋_GB2312" w:cs="仿宋_GB2312"/>
          <w:sz w:val="32"/>
          <w:szCs w:val="32"/>
        </w:rPr>
        <w:t>亿元，占地面积</w:t>
      </w:r>
      <w:r>
        <w:rPr>
          <w:sz w:val="32"/>
          <w:szCs w:val="32"/>
        </w:rPr>
        <w:t>300</w:t>
      </w:r>
      <w:r>
        <w:rPr>
          <w:rFonts w:hint="default" w:ascii="仿宋_GB2312" w:eastAsia="仿宋_GB2312" w:cs="仿宋_GB2312"/>
          <w:sz w:val="32"/>
          <w:szCs w:val="32"/>
        </w:rPr>
        <w:t>亩，拟开发建设</w:t>
      </w:r>
      <w:r>
        <w:rPr>
          <w:sz w:val="32"/>
          <w:szCs w:val="32"/>
        </w:rPr>
        <w:t>6</w:t>
      </w:r>
      <w:r>
        <w:rPr>
          <w:rFonts w:hint="default" w:ascii="仿宋_GB2312" w:eastAsia="仿宋_GB2312" w:cs="仿宋_GB2312"/>
          <w:sz w:val="32"/>
          <w:szCs w:val="32"/>
        </w:rPr>
        <w:t>栋高标准双层仓库，总建筑面积为</w:t>
      </w:r>
      <w:r>
        <w:rPr>
          <w:sz w:val="32"/>
          <w:szCs w:val="32"/>
        </w:rPr>
        <w:t>18</w:t>
      </w:r>
      <w:r>
        <w:rPr>
          <w:rFonts w:hint="default" w:ascii="仿宋_GB2312" w:eastAsia="仿宋_GB2312" w:cs="仿宋_GB2312"/>
          <w:sz w:val="32"/>
          <w:szCs w:val="32"/>
        </w:rPr>
        <w:t>万平方米。项目拟建设总建筑面积约</w:t>
      </w:r>
      <w:r>
        <w:rPr>
          <w:sz w:val="32"/>
          <w:szCs w:val="32"/>
        </w:rPr>
        <w:t>339928</w:t>
      </w:r>
      <w:r>
        <w:rPr>
          <w:rFonts w:hint="default" w:ascii="仿宋_GB2312" w:eastAsia="仿宋_GB2312" w:cs="仿宋_GB2312"/>
          <w:sz w:val="32"/>
          <w:szCs w:val="32"/>
        </w:rPr>
        <w:t>平方米</w:t>
      </w:r>
      <w:r>
        <w:rPr>
          <w:sz w:val="32"/>
          <w:szCs w:val="32"/>
        </w:rPr>
        <w:t>(</w:t>
      </w:r>
      <w:r>
        <w:rPr>
          <w:rFonts w:hint="default" w:ascii="仿宋_GB2312" w:eastAsia="仿宋_GB2312" w:cs="仿宋_GB2312"/>
          <w:sz w:val="32"/>
          <w:szCs w:val="32"/>
        </w:rPr>
        <w:t>计容面积</w:t>
      </w:r>
      <w:r>
        <w:rPr>
          <w:sz w:val="32"/>
          <w:szCs w:val="32"/>
        </w:rPr>
        <w:t>)</w:t>
      </w:r>
      <w:r>
        <w:rPr>
          <w:rFonts w:hint="default" w:ascii="仿宋_GB2312" w:eastAsia="仿宋_GB2312" w:cs="仿宋_GB2312"/>
          <w:sz w:val="32"/>
          <w:szCs w:val="32"/>
        </w:rPr>
        <w:t>，主体建筑地上不低于</w:t>
      </w:r>
      <w:r>
        <w:rPr>
          <w:sz w:val="32"/>
          <w:szCs w:val="32"/>
        </w:rPr>
        <w:t>24</w:t>
      </w:r>
      <w:r>
        <w:rPr>
          <w:rFonts w:hint="default" w:ascii="仿宋_GB2312" w:eastAsia="仿宋_GB2312" w:cs="仿宋_GB2312"/>
          <w:sz w:val="32"/>
          <w:szCs w:val="32"/>
        </w:rPr>
        <w:t>米，建筑密度≤</w:t>
      </w:r>
      <w:r>
        <w:rPr>
          <w:sz w:val="32"/>
          <w:szCs w:val="32"/>
        </w:rPr>
        <w:t>70%, </w:t>
      </w:r>
      <w:r>
        <w:rPr>
          <w:rFonts w:hint="default" w:ascii="仿宋_GB2312" w:eastAsia="仿宋_GB2312" w:cs="仿宋_GB2312"/>
          <w:sz w:val="32"/>
          <w:szCs w:val="32"/>
        </w:rPr>
        <w:t>容积率≥</w:t>
      </w:r>
      <w:r>
        <w:rPr>
          <w:sz w:val="32"/>
          <w:szCs w:val="32"/>
        </w:rPr>
        <w:t>1.6</w:t>
      </w:r>
      <w:r>
        <w:rPr>
          <w:rFonts w:hint="default" w:ascii="仿宋_GB2312" w:eastAsia="仿宋_GB2312" w:cs="仿宋_GB2312"/>
          <w:sz w:val="32"/>
          <w:szCs w:val="32"/>
        </w:rPr>
        <w:t>，绿地率≤</w:t>
      </w:r>
      <w:r>
        <w:rPr>
          <w:sz w:val="32"/>
          <w:szCs w:val="32"/>
        </w:rPr>
        <w:t>15%</w:t>
      </w:r>
      <w:r>
        <w:rPr>
          <w:rFonts w:hint="default" w:ascii="仿宋_GB2312" w:eastAsia="仿宋_GB2312" w:cs="仿宋_GB2312"/>
          <w:sz w:val="32"/>
          <w:szCs w:val="32"/>
        </w:rPr>
        <w:t>，目前是待开发状态，预计</w:t>
      </w:r>
      <w:r>
        <w:rPr>
          <w:sz w:val="32"/>
          <w:szCs w:val="32"/>
        </w:rPr>
        <w:t>2022</w:t>
      </w:r>
      <w:r>
        <w:rPr>
          <w:rFonts w:hint="default" w:ascii="仿宋_GB2312" w:eastAsia="仿宋_GB2312" w:cs="仿宋_GB2312"/>
          <w:sz w:val="32"/>
          <w:szCs w:val="32"/>
        </w:rPr>
        <w:t>年年底竣工。项目竣工后将努力引进电商及医药冷链行业的龙头企业，提升现代物流业整体水平，带动区域经济快速、健康发展。</w:t>
      </w:r>
    </w:p>
    <w:p>
      <w:pPr>
        <w:pStyle w:val="6"/>
        <w:keepNext w:val="0"/>
        <w:keepLines w:val="0"/>
        <w:widowControl/>
        <w:suppressLineNumbers w:val="0"/>
        <w:spacing w:before="0" w:beforeAutospacing="0" w:after="0" w:afterAutospacing="0" w:line="315" w:lineRule="atLeast"/>
        <w:ind w:left="0" w:right="0" w:firstLine="645"/>
        <w:outlineLvl w:val="0"/>
        <w:rPr>
          <w:sz w:val="32"/>
          <w:szCs w:val="32"/>
        </w:rPr>
      </w:pPr>
      <w:bookmarkStart w:id="4" w:name="_Toc30929"/>
      <w:r>
        <w:rPr>
          <w:rFonts w:hint="eastAsia" w:ascii="黑体" w:hAnsi="宋体" w:eastAsia="黑体" w:cs="黑体"/>
          <w:sz w:val="32"/>
          <w:szCs w:val="32"/>
        </w:rPr>
        <w:t>五、政府政策支持及服务</w:t>
      </w:r>
      <w:bookmarkEnd w:id="4"/>
    </w:p>
    <w:p>
      <w:pPr>
        <w:pStyle w:val="6"/>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政府协助符合该项目申请条件的省级外资到账奖励相关优惠政策落实到位；政府安排专人全程协助办理公司设立（或变更）登记、项目建设施工等方面的有关申报、审批手续。对于在建设及达产后经营中遇到的其他问题和要求，依法提供充分的便利条件和服务。</w:t>
      </w:r>
    </w:p>
    <w:p>
      <w:pPr>
        <w:pStyle w:val="6"/>
        <w:keepNext w:val="0"/>
        <w:keepLines w:val="0"/>
        <w:widowControl/>
        <w:suppressLineNumbers w:val="0"/>
        <w:spacing w:before="0" w:beforeAutospacing="0" w:after="0" w:afterAutospacing="0" w:line="315" w:lineRule="atLeast"/>
        <w:ind w:left="0" w:right="0" w:firstLine="645"/>
        <w:outlineLvl w:val="0"/>
        <w:rPr>
          <w:sz w:val="32"/>
          <w:szCs w:val="32"/>
        </w:rPr>
      </w:pPr>
      <w:bookmarkStart w:id="5" w:name="_Toc26470"/>
      <w:r>
        <w:rPr>
          <w:rFonts w:hint="eastAsia" w:ascii="黑体" w:hAnsi="宋体" w:eastAsia="黑体" w:cs="黑体"/>
          <w:sz w:val="32"/>
          <w:szCs w:val="32"/>
        </w:rPr>
        <w:t>六、联系方式</w:t>
      </w:r>
      <w:bookmarkEnd w:id="5"/>
    </w:p>
    <w:p>
      <w:pPr>
        <w:pStyle w:val="6"/>
        <w:keepNext w:val="0"/>
        <w:keepLines w:val="0"/>
        <w:widowControl/>
        <w:suppressLineNumbers w:val="0"/>
        <w:spacing w:before="0" w:beforeAutospacing="0" w:after="0" w:afterAutospacing="0" w:line="315" w:lineRule="atLeast"/>
        <w:ind w:left="0" w:right="0" w:firstLine="540"/>
        <w:rPr>
          <w:sz w:val="32"/>
          <w:szCs w:val="32"/>
        </w:rPr>
      </w:pPr>
      <w:r>
        <w:rPr>
          <w:rFonts w:hint="default" w:ascii="仿宋_GB2312" w:eastAsia="仿宋_GB2312" w:cs="仿宋_GB2312"/>
          <w:sz w:val="32"/>
          <w:szCs w:val="32"/>
        </w:rPr>
        <w:t>联系人：李佰生</w:t>
      </w:r>
      <w:r>
        <w:rPr>
          <w:rFonts w:hint="eastAsia" w:ascii="宋体" w:hAnsi="宋体" w:eastAsia="宋体" w:cs="宋体"/>
          <w:sz w:val="32"/>
          <w:szCs w:val="32"/>
        </w:rPr>
        <w:t>     </w:t>
      </w:r>
    </w:p>
    <w:p>
      <w:pPr>
        <w:pStyle w:val="6"/>
        <w:keepNext w:val="0"/>
        <w:keepLines w:val="0"/>
        <w:widowControl/>
        <w:suppressLineNumbers w:val="0"/>
        <w:spacing w:before="0" w:beforeAutospacing="0" w:after="0" w:afterAutospacing="0" w:line="315" w:lineRule="atLeast"/>
        <w:ind w:left="0" w:right="0" w:firstLine="540"/>
        <w:rPr>
          <w:sz w:val="32"/>
          <w:szCs w:val="32"/>
        </w:rPr>
      </w:pPr>
      <w:r>
        <w:rPr>
          <w:rFonts w:hint="default" w:ascii="仿宋_GB2312" w:eastAsia="仿宋_GB2312" w:cs="仿宋_GB2312"/>
          <w:sz w:val="32"/>
          <w:szCs w:val="32"/>
        </w:rPr>
        <w:t>联系电话：</w:t>
      </w:r>
      <w:r>
        <w:rPr>
          <w:rFonts w:hint="eastAsia" w:ascii="宋体" w:hAnsi="宋体" w:eastAsia="宋体" w:cs="宋体"/>
          <w:sz w:val="32"/>
          <w:szCs w:val="32"/>
        </w:rPr>
        <w:t>0532-55671068</w:t>
      </w:r>
    </w:p>
    <w:p>
      <w:pPr>
        <w:pStyle w:val="6"/>
        <w:keepNext w:val="0"/>
        <w:keepLines w:val="0"/>
        <w:widowControl/>
        <w:suppressLineNumbers w:val="0"/>
        <w:spacing w:before="0" w:beforeAutospacing="0" w:after="0" w:afterAutospacing="0" w:line="420" w:lineRule="atLeast"/>
        <w:ind w:left="0" w:right="0"/>
        <w:rPr>
          <w:sz w:val="32"/>
          <w:szCs w:val="32"/>
        </w:rPr>
      </w:pPr>
    </w:p>
    <w:p>
      <w:pPr>
        <w:pStyle w:val="6"/>
        <w:keepNext w:val="0"/>
        <w:keepLines w:val="0"/>
        <w:widowControl/>
        <w:suppressLineNumbers w:val="0"/>
        <w:spacing w:before="165" w:beforeAutospacing="0" w:after="0" w:afterAutospacing="0" w:line="360" w:lineRule="atLeast"/>
        <w:ind w:left="0" w:right="255" w:firstLine="885"/>
        <w:jc w:val="center"/>
        <w:outlineLvl w:val="0"/>
        <w:rPr>
          <w:rFonts w:ascii="方正小标宋简体" w:hAnsi="方正小标宋简体" w:eastAsia="方正小标宋简体" w:cs="方正小标宋简体"/>
          <w:b/>
          <w:bCs/>
          <w:sz w:val="44"/>
          <w:szCs w:val="44"/>
        </w:rPr>
      </w:pPr>
      <w:bookmarkStart w:id="6" w:name="_Toc21941"/>
    </w:p>
    <w:p>
      <w:pPr>
        <w:pStyle w:val="6"/>
        <w:keepNext w:val="0"/>
        <w:keepLines w:val="0"/>
        <w:widowControl/>
        <w:suppressLineNumbers w:val="0"/>
        <w:spacing w:before="165" w:beforeAutospacing="0" w:after="0" w:afterAutospacing="0" w:line="360" w:lineRule="atLeast"/>
        <w:ind w:left="0" w:right="255" w:firstLine="885"/>
        <w:jc w:val="center"/>
        <w:outlineLvl w:val="0"/>
        <w:rPr>
          <w:rFonts w:ascii="方正小标宋简体" w:hAnsi="方正小标宋简体" w:eastAsia="方正小标宋简体" w:cs="方正小标宋简体"/>
          <w:b/>
          <w:bCs/>
          <w:sz w:val="44"/>
          <w:szCs w:val="44"/>
        </w:rPr>
      </w:pPr>
      <w:r>
        <w:rPr>
          <w:rFonts w:ascii="方正小标宋简体" w:hAnsi="方正小标宋简体" w:eastAsia="方正小标宋简体" w:cs="方正小标宋简体"/>
          <w:b/>
          <w:bCs/>
          <w:sz w:val="44"/>
          <w:szCs w:val="44"/>
        </w:rPr>
        <w:t>水发国际物流园</w:t>
      </w:r>
      <w:bookmarkEnd w:id="6"/>
    </w:p>
    <w:p>
      <w:pPr>
        <w:pStyle w:val="6"/>
        <w:keepNext w:val="0"/>
        <w:keepLines w:val="0"/>
        <w:widowControl/>
        <w:suppressLineNumbers w:val="0"/>
        <w:spacing w:before="0" w:beforeAutospacing="0" w:after="0" w:afterAutospacing="0" w:line="315" w:lineRule="atLeast"/>
        <w:ind w:left="0" w:right="0" w:firstLine="645"/>
        <w:outlineLvl w:val="0"/>
        <w:rPr>
          <w:sz w:val="32"/>
          <w:szCs w:val="32"/>
        </w:rPr>
      </w:pPr>
      <w:bookmarkStart w:id="7" w:name="_Toc32018"/>
      <w:r>
        <w:rPr>
          <w:rFonts w:ascii="黑体" w:hAnsi="宋体" w:eastAsia="黑体" w:cs="黑体"/>
          <w:sz w:val="32"/>
          <w:szCs w:val="32"/>
        </w:rPr>
        <w:t>一、项目名称</w:t>
      </w:r>
      <w:bookmarkEnd w:id="7"/>
    </w:p>
    <w:p>
      <w:pPr>
        <w:pStyle w:val="6"/>
        <w:keepNext w:val="0"/>
        <w:keepLines w:val="0"/>
        <w:widowControl/>
        <w:suppressLineNumbers w:val="0"/>
        <w:spacing w:before="0" w:beforeAutospacing="0" w:after="0" w:afterAutospacing="0" w:line="315" w:lineRule="atLeast"/>
        <w:ind w:left="0" w:right="0" w:firstLine="645"/>
        <w:rPr>
          <w:sz w:val="32"/>
          <w:szCs w:val="32"/>
        </w:rPr>
      </w:pPr>
      <w:r>
        <w:rPr>
          <w:rFonts w:ascii="仿宋_GB2312" w:eastAsia="仿宋_GB2312" w:cs="仿宋_GB2312"/>
          <w:sz w:val="32"/>
          <w:szCs w:val="32"/>
        </w:rPr>
        <w:t>水发国际物流园</w:t>
      </w:r>
    </w:p>
    <w:p>
      <w:pPr>
        <w:pStyle w:val="6"/>
        <w:keepNext w:val="0"/>
        <w:keepLines w:val="0"/>
        <w:widowControl/>
        <w:suppressLineNumbers w:val="0"/>
        <w:spacing w:before="0" w:beforeAutospacing="0" w:after="0" w:afterAutospacing="0" w:line="315" w:lineRule="atLeast"/>
        <w:ind w:left="0" w:right="0" w:firstLine="645"/>
        <w:outlineLvl w:val="0"/>
        <w:rPr>
          <w:sz w:val="32"/>
          <w:szCs w:val="32"/>
        </w:rPr>
      </w:pPr>
      <w:bookmarkStart w:id="8" w:name="_Toc3794"/>
      <w:r>
        <w:rPr>
          <w:rFonts w:hint="eastAsia" w:ascii="黑体" w:hAnsi="宋体" w:eastAsia="黑体" w:cs="黑体"/>
          <w:sz w:val="32"/>
          <w:szCs w:val="32"/>
        </w:rPr>
        <w:t>二、园区</w:t>
      </w:r>
      <w:r>
        <w:rPr>
          <w:rFonts w:hint="eastAsia" w:ascii="宋体" w:hAnsi="宋体" w:eastAsia="宋体" w:cs="宋体"/>
          <w:sz w:val="32"/>
          <w:szCs w:val="32"/>
        </w:rPr>
        <w:t>(</w:t>
      </w:r>
      <w:r>
        <w:rPr>
          <w:rFonts w:hint="eastAsia" w:ascii="黑体" w:hAnsi="宋体" w:eastAsia="黑体" w:cs="黑体"/>
          <w:sz w:val="32"/>
          <w:szCs w:val="32"/>
        </w:rPr>
        <w:t>或楼宇</w:t>
      </w:r>
      <w:r>
        <w:rPr>
          <w:rFonts w:hint="eastAsia" w:ascii="宋体" w:hAnsi="宋体" w:eastAsia="宋体" w:cs="宋体"/>
          <w:sz w:val="32"/>
          <w:szCs w:val="32"/>
        </w:rPr>
        <w:t>)</w:t>
      </w:r>
      <w:r>
        <w:rPr>
          <w:rFonts w:hint="eastAsia" w:ascii="黑体" w:hAnsi="宋体" w:eastAsia="黑体" w:cs="黑体"/>
          <w:sz w:val="32"/>
          <w:szCs w:val="32"/>
        </w:rPr>
        <w:t>概况</w:t>
      </w:r>
      <w:bookmarkEnd w:id="8"/>
    </w:p>
    <w:p>
      <w:pPr>
        <w:pStyle w:val="6"/>
        <w:keepNext w:val="0"/>
        <w:keepLines w:val="0"/>
        <w:widowControl/>
        <w:suppressLineNumbers w:val="0"/>
        <w:spacing w:before="0" w:beforeAutospacing="0" w:after="0" w:afterAutospacing="0" w:line="315" w:lineRule="atLeast"/>
        <w:ind w:left="0" w:right="0" w:firstLine="645"/>
        <w:outlineLvl w:val="1"/>
        <w:rPr>
          <w:sz w:val="32"/>
          <w:szCs w:val="32"/>
        </w:rPr>
      </w:pPr>
      <w:bookmarkStart w:id="9" w:name="_Toc26104"/>
      <w:r>
        <w:rPr>
          <w:rFonts w:ascii="楷体" w:hAnsi="楷体" w:eastAsia="楷体" w:cs="楷体"/>
          <w:sz w:val="32"/>
          <w:szCs w:val="32"/>
        </w:rPr>
        <w:t>（一）投资方情况</w:t>
      </w:r>
      <w:bookmarkEnd w:id="9"/>
    </w:p>
    <w:p>
      <w:pPr>
        <w:pStyle w:val="6"/>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水发国际物流园项目（以下简称项目）建设单位为水发物流集团有限公司（以下简称水发物流）。水发物流成立于</w:t>
      </w:r>
      <w:r>
        <w:rPr>
          <w:rFonts w:hint="eastAsia" w:ascii="宋体" w:hAnsi="宋体" w:eastAsia="宋体" w:cs="宋体"/>
          <w:sz w:val="32"/>
          <w:szCs w:val="32"/>
        </w:rPr>
        <w:t>2019</w:t>
      </w:r>
      <w:r>
        <w:rPr>
          <w:rFonts w:hint="default" w:ascii="仿宋_GB2312" w:eastAsia="仿宋_GB2312" w:cs="仿宋_GB2312"/>
          <w:sz w:val="32"/>
          <w:szCs w:val="32"/>
        </w:rPr>
        <w:t>年</w:t>
      </w:r>
      <w:r>
        <w:rPr>
          <w:rFonts w:hint="eastAsia" w:ascii="宋体" w:hAnsi="宋体" w:eastAsia="宋体" w:cs="宋体"/>
          <w:sz w:val="32"/>
          <w:szCs w:val="32"/>
        </w:rPr>
        <w:t>6</w:t>
      </w:r>
      <w:r>
        <w:rPr>
          <w:rFonts w:hint="default" w:ascii="仿宋_GB2312" w:eastAsia="仿宋_GB2312" w:cs="仿宋_GB2312"/>
          <w:sz w:val="32"/>
          <w:szCs w:val="32"/>
        </w:rPr>
        <w:t>月，注册资本金</w:t>
      </w:r>
      <w:r>
        <w:rPr>
          <w:rFonts w:hint="eastAsia" w:ascii="宋体" w:hAnsi="宋体" w:eastAsia="宋体" w:cs="宋体"/>
          <w:sz w:val="32"/>
          <w:szCs w:val="32"/>
        </w:rPr>
        <w:t>3</w:t>
      </w:r>
      <w:r>
        <w:rPr>
          <w:rFonts w:hint="default" w:ascii="仿宋_GB2312" w:eastAsia="仿宋_GB2312" w:cs="仿宋_GB2312"/>
          <w:sz w:val="32"/>
          <w:szCs w:val="32"/>
        </w:rPr>
        <w:t>亿元。水发物流是水发集团与山东省国兴物流服务有限公司合资公司，水发集团控股</w:t>
      </w:r>
      <w:r>
        <w:rPr>
          <w:rFonts w:hint="eastAsia" w:ascii="宋体" w:hAnsi="宋体" w:eastAsia="宋体" w:cs="宋体"/>
          <w:sz w:val="32"/>
          <w:szCs w:val="32"/>
        </w:rPr>
        <w:t>60%</w:t>
      </w:r>
      <w:r>
        <w:rPr>
          <w:rFonts w:hint="default" w:ascii="仿宋_GB2312" w:eastAsia="仿宋_GB2312" w:cs="仿宋_GB2312"/>
          <w:sz w:val="32"/>
          <w:szCs w:val="32"/>
        </w:rPr>
        <w:t>。</w:t>
      </w:r>
    </w:p>
    <w:p>
      <w:pPr>
        <w:pStyle w:val="6"/>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水发集团是山东省属一级国有独资企业，资产规模超过</w:t>
      </w:r>
      <w:r>
        <w:rPr>
          <w:rFonts w:hint="eastAsia" w:ascii="宋体" w:hAnsi="宋体" w:eastAsia="宋体" w:cs="宋体"/>
          <w:sz w:val="32"/>
          <w:szCs w:val="32"/>
        </w:rPr>
        <w:t>1300</w:t>
      </w:r>
      <w:r>
        <w:rPr>
          <w:rFonts w:hint="default" w:ascii="仿宋_GB2312" w:eastAsia="仿宋_GB2312" w:cs="仿宋_GB2312"/>
          <w:sz w:val="32"/>
          <w:szCs w:val="32"/>
        </w:rPr>
        <w:t>亿元，企业信用评级</w:t>
      </w:r>
      <w:r>
        <w:rPr>
          <w:rFonts w:hint="eastAsia" w:ascii="宋体" w:hAnsi="宋体" w:eastAsia="宋体" w:cs="宋体"/>
          <w:sz w:val="32"/>
          <w:szCs w:val="32"/>
        </w:rPr>
        <w:t>AAA</w:t>
      </w:r>
      <w:r>
        <w:rPr>
          <w:rFonts w:hint="default" w:ascii="仿宋_GB2312" w:eastAsia="仿宋_GB2312" w:cs="仿宋_GB2312"/>
          <w:sz w:val="32"/>
          <w:szCs w:val="32"/>
        </w:rPr>
        <w:t>级，是山东省资产规模最大、产业链条最为完整、综合实力最强的特大型水务集团，形成了水务为主，清洁能源、文化旅游、现代农业、现代物流多元化发展的业务格局。水发集团集成强大的开发运营能力，拥有专业的物流园区开发运营团队、工程勘察专业类甲级资质、物流规划综合服务能力、智慧园区及智慧物流系统开发运维能力。水发集团拥有权属企业近</w:t>
      </w:r>
      <w:r>
        <w:rPr>
          <w:rFonts w:hint="eastAsia" w:ascii="宋体" w:hAnsi="宋体" w:eastAsia="宋体" w:cs="宋体"/>
          <w:sz w:val="32"/>
          <w:szCs w:val="32"/>
        </w:rPr>
        <w:t>500</w:t>
      </w:r>
      <w:r>
        <w:rPr>
          <w:rFonts w:hint="default" w:ascii="仿宋_GB2312" w:eastAsia="仿宋_GB2312" w:cs="仿宋_GB2312"/>
          <w:sz w:val="32"/>
          <w:szCs w:val="32"/>
        </w:rPr>
        <w:t>家，整合了水产协会、果品协会、五金商会等机构资源，拥有种业集团、农发集团、伯乐庄园等企业资源。</w:t>
      </w:r>
    </w:p>
    <w:p>
      <w:pPr>
        <w:pStyle w:val="6"/>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水发物流系水发集团一级权属公司，主要从事物流园区开发运营、铁路运输、空运航运、公路运输、仓储服务等业务，拟以水发国际物流园为起点，打造现代化、智慧化、数字化的国际物流园区网络。</w:t>
      </w:r>
    </w:p>
    <w:p>
      <w:pPr>
        <w:pStyle w:val="6"/>
        <w:keepNext w:val="0"/>
        <w:keepLines w:val="0"/>
        <w:widowControl/>
        <w:suppressLineNumbers w:val="0"/>
        <w:spacing w:before="0" w:beforeAutospacing="0" w:after="0" w:afterAutospacing="0" w:line="315" w:lineRule="atLeast"/>
        <w:ind w:left="0" w:right="0" w:firstLine="645"/>
        <w:outlineLvl w:val="1"/>
        <w:rPr>
          <w:sz w:val="32"/>
          <w:szCs w:val="32"/>
        </w:rPr>
      </w:pPr>
      <w:bookmarkStart w:id="10" w:name="_Toc3969"/>
      <w:r>
        <w:rPr>
          <w:rFonts w:hint="eastAsia" w:ascii="楷体" w:hAnsi="楷体" w:eastAsia="楷体" w:cs="楷体"/>
          <w:sz w:val="32"/>
          <w:szCs w:val="32"/>
        </w:rPr>
        <w:t>（二）区域位置、交通设施、等级定位、空间规划</w:t>
      </w:r>
      <w:bookmarkEnd w:id="10"/>
    </w:p>
    <w:p>
      <w:pPr>
        <w:pStyle w:val="6"/>
        <w:keepNext w:val="0"/>
        <w:keepLines w:val="0"/>
        <w:widowControl/>
        <w:suppressLineNumbers w:val="0"/>
        <w:spacing w:before="0" w:beforeAutospacing="0" w:after="0" w:afterAutospacing="0" w:line="420" w:lineRule="atLeast"/>
        <w:ind w:left="0" w:right="0"/>
        <w:rPr>
          <w:sz w:val="32"/>
          <w:szCs w:val="32"/>
        </w:rPr>
      </w:pPr>
      <w:r>
        <w:rPr>
          <w:rFonts w:hint="default" w:ascii="仿宋_GB2312" w:eastAsia="仿宋_GB2312" w:cs="仿宋_GB2312"/>
          <w:sz w:val="32"/>
          <w:szCs w:val="32"/>
        </w:rPr>
        <w:t>园区位于中国（山东）自由贸易试验区济南片区辐射区，便于企业承接自贸区政策，更大力度地开展保税仓储、保税展示等国际物流业务。园区位于济南临港经济开发区，距离济南高新区、明水经济开发区两大国家级开发区均在</w:t>
      </w:r>
      <w:r>
        <w:rPr>
          <w:rFonts w:hint="eastAsia" w:ascii="宋体" w:hAnsi="宋体" w:eastAsia="宋体" w:cs="宋体"/>
          <w:sz w:val="32"/>
          <w:szCs w:val="32"/>
        </w:rPr>
        <w:t>20</w:t>
      </w:r>
      <w:r>
        <w:rPr>
          <w:rFonts w:hint="default" w:ascii="仿宋_GB2312" w:eastAsia="仿宋_GB2312" w:cs="仿宋_GB2312"/>
          <w:sz w:val="32"/>
          <w:szCs w:val="32"/>
        </w:rPr>
        <w:t>公里以内，周边产业密度高，便于企业快捷开展产业供应链服务。园区地处济南内陆港核心区的中央高端物流集聚区，毗邻济南市中心城区，便于企业开展高端仓储、城市配送、物流企业商务办公等物流业务。</w:t>
      </w:r>
    </w:p>
    <w:p>
      <w:pPr>
        <w:pStyle w:val="6"/>
        <w:keepNext w:val="0"/>
        <w:keepLines w:val="0"/>
        <w:widowControl/>
        <w:suppressLineNumbers w:val="0"/>
        <w:spacing w:before="0" w:beforeAutospacing="0" w:after="0" w:afterAutospacing="0" w:line="420" w:lineRule="atLeast"/>
        <w:ind w:left="0" w:right="0"/>
        <w:jc w:val="center"/>
        <w:rPr>
          <w:sz w:val="32"/>
          <w:szCs w:val="32"/>
        </w:rPr>
      </w:pPr>
      <w:r>
        <w:rPr>
          <w:color w:val="auto"/>
          <w:sz w:val="32"/>
          <w:szCs w:val="32"/>
          <w:u w:val="none"/>
          <w:bdr w:val="none" w:color="auto" w:sz="0" w:space="0"/>
        </w:rPr>
        <w:drawing>
          <wp:inline distT="0" distB="0" distL="114300" distR="114300">
            <wp:extent cx="4762500" cy="3819525"/>
            <wp:effectExtent l="0" t="0" r="0" b="9525"/>
            <wp:docPr id="1" name="图片 1" descr="1.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png"/>
                    <pic:cNvPicPr>
                      <a:picLocks noChangeAspect="1"/>
                    </pic:cNvPicPr>
                  </pic:nvPicPr>
                  <pic:blipFill>
                    <a:blip r:embed="rId6"/>
                    <a:stretch>
                      <a:fillRect/>
                    </a:stretch>
                  </pic:blipFill>
                  <pic:spPr>
                    <a:xfrm>
                      <a:off x="0" y="0"/>
                      <a:ext cx="4762500" cy="3819525"/>
                    </a:xfrm>
                    <a:prstGeom prst="rect">
                      <a:avLst/>
                    </a:prstGeom>
                    <a:noFill/>
                    <a:ln w="9525">
                      <a:noFill/>
                    </a:ln>
                  </pic:spPr>
                </pic:pic>
              </a:graphicData>
            </a:graphic>
          </wp:inline>
        </w:drawing>
      </w:r>
    </w:p>
    <w:p>
      <w:pPr>
        <w:pStyle w:val="6"/>
        <w:keepNext w:val="0"/>
        <w:keepLines w:val="0"/>
        <w:widowControl/>
        <w:suppressLineNumbers w:val="0"/>
        <w:spacing w:before="0" w:beforeAutospacing="0" w:after="0" w:afterAutospacing="0" w:line="315" w:lineRule="atLeast"/>
        <w:ind w:left="0" w:right="0"/>
        <w:jc w:val="center"/>
        <w:outlineLvl w:val="1"/>
        <w:rPr>
          <w:sz w:val="32"/>
          <w:szCs w:val="32"/>
        </w:rPr>
      </w:pPr>
      <w:bookmarkStart w:id="11" w:name="_Toc18793"/>
      <w:r>
        <w:rPr>
          <w:rFonts w:hint="default" w:ascii="仿宋_GB2312" w:eastAsia="仿宋_GB2312" w:cs="仿宋_GB2312"/>
          <w:sz w:val="32"/>
          <w:szCs w:val="32"/>
        </w:rPr>
        <w:t>图：水发国际物流园项目区位示意图</w:t>
      </w:r>
      <w:bookmarkEnd w:id="11"/>
    </w:p>
    <w:p>
      <w:pPr>
        <w:pStyle w:val="6"/>
        <w:keepNext w:val="0"/>
        <w:keepLines w:val="0"/>
        <w:widowControl/>
        <w:suppressLineNumbers w:val="0"/>
        <w:spacing w:before="0" w:beforeAutospacing="0" w:after="0" w:afterAutospacing="0" w:line="360" w:lineRule="atLeast"/>
        <w:ind w:left="0" w:right="0" w:firstLine="0"/>
        <w:rPr>
          <w:sz w:val="32"/>
          <w:szCs w:val="32"/>
        </w:rPr>
      </w:pPr>
      <w:r>
        <w:rPr>
          <w:rFonts w:hint="default" w:ascii="仿宋_GB2312" w:eastAsia="仿宋_GB2312" w:cs="仿宋_GB2312"/>
          <w:sz w:val="32"/>
          <w:szCs w:val="32"/>
        </w:rPr>
        <w:t>    </w:t>
      </w:r>
      <w:r>
        <w:rPr>
          <w:rFonts w:hint="default" w:ascii="仿宋_GB2312" w:eastAsia="仿宋_GB2312" w:cs="仿宋_GB2312"/>
          <w:sz w:val="32"/>
          <w:szCs w:val="32"/>
        </w:rPr>
        <w:t>项目具备机场、铁路、水港、高速公路“四位一体”的交通优势。项目内水发铁路专线直连董家镇枢纽，联通邯济、胶济、京沪三大铁路，嵌入了全国铁路干线网络体系。项目经小清河疏港铁路可直连小清河港口，距离济南遥墙国际机场约</w:t>
      </w:r>
      <w:r>
        <w:rPr>
          <w:rFonts w:hint="eastAsia" w:ascii="宋体" w:hAnsi="宋体" w:eastAsia="宋体" w:cs="宋体"/>
          <w:sz w:val="32"/>
          <w:szCs w:val="32"/>
        </w:rPr>
        <w:t>15</w:t>
      </w:r>
      <w:r>
        <w:rPr>
          <w:rFonts w:hint="default" w:ascii="仿宋_GB2312" w:eastAsia="仿宋_GB2312" w:cs="仿宋_GB2312"/>
          <w:sz w:val="32"/>
          <w:szCs w:val="32"/>
        </w:rPr>
        <w:t>公里，园区方圆</w:t>
      </w:r>
      <w:r>
        <w:rPr>
          <w:rFonts w:hint="eastAsia" w:ascii="宋体" w:hAnsi="宋体" w:eastAsia="宋体" w:cs="宋体"/>
          <w:sz w:val="32"/>
          <w:szCs w:val="32"/>
        </w:rPr>
        <w:t>10</w:t>
      </w:r>
      <w:r>
        <w:rPr>
          <w:rFonts w:hint="default" w:ascii="仿宋_GB2312" w:eastAsia="仿宋_GB2312" w:cs="仿宋_GB2312"/>
          <w:sz w:val="32"/>
          <w:szCs w:val="32"/>
        </w:rPr>
        <w:t>公里内设有济南绕城高速郭店出入口、济广高速临港出入口等</w:t>
      </w:r>
      <w:r>
        <w:rPr>
          <w:rFonts w:hint="eastAsia" w:ascii="宋体" w:hAnsi="宋体" w:eastAsia="宋体" w:cs="宋体"/>
          <w:sz w:val="32"/>
          <w:szCs w:val="32"/>
        </w:rPr>
        <w:t>5</w:t>
      </w:r>
      <w:r>
        <w:rPr>
          <w:rFonts w:hint="default" w:ascii="仿宋_GB2312" w:eastAsia="仿宋_GB2312" w:cs="仿宋_GB2312"/>
          <w:sz w:val="32"/>
          <w:szCs w:val="32"/>
        </w:rPr>
        <w:t>个高速出入口，方圆</w:t>
      </w:r>
      <w:r>
        <w:rPr>
          <w:rFonts w:hint="eastAsia" w:ascii="宋体" w:hAnsi="宋体" w:eastAsia="宋体" w:cs="宋体"/>
          <w:sz w:val="32"/>
          <w:szCs w:val="32"/>
        </w:rPr>
        <w:t>20</w:t>
      </w:r>
      <w:r>
        <w:rPr>
          <w:rFonts w:hint="default" w:ascii="仿宋_GB2312" w:eastAsia="仿宋_GB2312" w:cs="仿宋_GB2312"/>
          <w:sz w:val="32"/>
          <w:szCs w:val="32"/>
        </w:rPr>
        <w:t>公里内设有</w:t>
      </w:r>
      <w:r>
        <w:rPr>
          <w:rFonts w:hint="eastAsia" w:ascii="宋体" w:hAnsi="宋体" w:eastAsia="宋体" w:cs="宋体"/>
          <w:sz w:val="32"/>
          <w:szCs w:val="32"/>
        </w:rPr>
        <w:t>9</w:t>
      </w:r>
      <w:r>
        <w:rPr>
          <w:rFonts w:hint="default" w:ascii="仿宋_GB2312" w:eastAsia="仿宋_GB2312" w:cs="仿宋_GB2312"/>
          <w:sz w:val="32"/>
          <w:szCs w:val="32"/>
        </w:rPr>
        <w:t>个高速出入口，公路运输网络四通八达。园区形成外联全国、辐射全省的“公、铁、水、空”立体化多式联运网络。</w:t>
      </w:r>
    </w:p>
    <w:p>
      <w:pPr>
        <w:pStyle w:val="6"/>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项目拟引入国际国内一线全产业链物流企业，对总部迁入的物流企业提供优厚的政策支持，现已与山东水产商会、山东五金商会、种业集团等签署战略合作协议，在项目竣工后上述企业将入驻园区。</w:t>
      </w:r>
    </w:p>
    <w:p>
      <w:pPr>
        <w:pStyle w:val="6"/>
        <w:keepNext w:val="0"/>
        <w:keepLines w:val="0"/>
        <w:widowControl/>
        <w:suppressLineNumbers w:val="0"/>
        <w:spacing w:before="0" w:beforeAutospacing="0" w:after="0" w:afterAutospacing="0" w:line="315" w:lineRule="atLeast"/>
        <w:ind w:left="0" w:right="0" w:firstLine="645"/>
        <w:outlineLvl w:val="0"/>
        <w:rPr>
          <w:sz w:val="32"/>
          <w:szCs w:val="32"/>
        </w:rPr>
      </w:pPr>
      <w:bookmarkStart w:id="12" w:name="_Toc28123"/>
      <w:r>
        <w:rPr>
          <w:rFonts w:hint="eastAsia" w:ascii="黑体" w:hAnsi="宋体" w:eastAsia="黑体" w:cs="黑体"/>
          <w:sz w:val="32"/>
          <w:szCs w:val="32"/>
        </w:rPr>
        <w:t>三、产业发展基础或定位</w:t>
      </w:r>
      <w:bookmarkEnd w:id="12"/>
    </w:p>
    <w:p>
      <w:pPr>
        <w:pStyle w:val="6"/>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基于传统物流园区转型发展需求，整合园区交易流、信息流、人流、物流信息资源，着力发展物流服务、交易服务、金融服务及信息服务四大产业，构建“商流、物流、资金流、信息流”融合发展的智慧物流园区。</w:t>
      </w:r>
    </w:p>
    <w:p>
      <w:pPr>
        <w:pStyle w:val="6"/>
        <w:keepNext w:val="0"/>
        <w:keepLines w:val="0"/>
        <w:widowControl/>
        <w:suppressLineNumbers w:val="0"/>
        <w:spacing w:before="0" w:beforeAutospacing="0" w:after="0" w:afterAutospacing="0" w:line="315" w:lineRule="atLeast"/>
        <w:ind w:left="0" w:right="0" w:firstLine="645"/>
        <w:outlineLvl w:val="1"/>
        <w:rPr>
          <w:sz w:val="32"/>
          <w:szCs w:val="32"/>
        </w:rPr>
      </w:pPr>
      <w:bookmarkStart w:id="13" w:name="_Toc26867"/>
      <w:r>
        <w:rPr>
          <w:rFonts w:hint="default" w:ascii="仿宋_GB2312" w:eastAsia="仿宋_GB2312" w:cs="仿宋_GB2312"/>
          <w:sz w:val="32"/>
          <w:szCs w:val="32"/>
        </w:rPr>
        <w:t>（</w:t>
      </w:r>
      <w:r>
        <w:rPr>
          <w:rFonts w:hint="eastAsia" w:ascii="宋体" w:hAnsi="宋体" w:eastAsia="宋体" w:cs="宋体"/>
          <w:sz w:val="32"/>
          <w:szCs w:val="32"/>
        </w:rPr>
        <w:t>1</w:t>
      </w:r>
      <w:r>
        <w:rPr>
          <w:rFonts w:hint="default" w:ascii="仿宋_GB2312" w:eastAsia="仿宋_GB2312" w:cs="仿宋_GB2312"/>
          <w:sz w:val="32"/>
          <w:szCs w:val="32"/>
        </w:rPr>
        <w:t>）主导产业一</w:t>
      </w:r>
      <w:r>
        <w:rPr>
          <w:rFonts w:hint="eastAsia" w:ascii="宋体" w:hAnsi="宋体" w:eastAsia="宋体" w:cs="宋体"/>
          <w:sz w:val="32"/>
          <w:szCs w:val="32"/>
        </w:rPr>
        <w:t>:</w:t>
      </w:r>
      <w:r>
        <w:rPr>
          <w:rFonts w:hint="default" w:ascii="仿宋_GB2312" w:eastAsia="仿宋_GB2312" w:cs="仿宋_GB2312"/>
          <w:sz w:val="32"/>
          <w:szCs w:val="32"/>
        </w:rPr>
        <w:t>物流服务</w:t>
      </w:r>
      <w:bookmarkEnd w:id="13"/>
    </w:p>
    <w:p>
      <w:pPr>
        <w:pStyle w:val="6"/>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园区将目标打造“运</w:t>
      </w:r>
      <w:r>
        <w:rPr>
          <w:rFonts w:hint="eastAsia" w:ascii="宋体" w:hAnsi="宋体" w:eastAsia="宋体" w:cs="宋体"/>
          <w:sz w:val="32"/>
          <w:szCs w:val="32"/>
        </w:rPr>
        <w:t>-</w:t>
      </w:r>
      <w:r>
        <w:rPr>
          <w:rFonts w:hint="default" w:ascii="仿宋_GB2312" w:eastAsia="仿宋_GB2312" w:cs="仿宋_GB2312"/>
          <w:sz w:val="32"/>
          <w:szCs w:val="32"/>
        </w:rPr>
        <w:t>储</w:t>
      </w:r>
      <w:r>
        <w:rPr>
          <w:rFonts w:hint="eastAsia" w:ascii="宋体" w:hAnsi="宋体" w:eastAsia="宋体" w:cs="宋体"/>
          <w:sz w:val="32"/>
          <w:szCs w:val="32"/>
        </w:rPr>
        <w:t>-</w:t>
      </w:r>
      <w:r>
        <w:rPr>
          <w:rFonts w:hint="default" w:ascii="仿宋_GB2312" w:eastAsia="仿宋_GB2312" w:cs="仿宋_GB2312"/>
          <w:sz w:val="32"/>
          <w:szCs w:val="32"/>
        </w:rPr>
        <w:t>配”一体化物流服务，覆盖国际、国内两大市场。依托园区多式联运优势，为生产企业、物流企业、贸易商等提供多式联运、智慧仓储、集散分拨等服务，满足客户不同成本需求的采购物流、生产物流、销售物流各环节的服务要求。依托自由贸易试验区济南片区，承接自贸区政策，整合海关、检验检疫等机构，提供保税仓储、国际货运、国际货代、报关报检等服务。</w:t>
      </w:r>
    </w:p>
    <w:p>
      <w:pPr>
        <w:pStyle w:val="6"/>
        <w:keepNext w:val="0"/>
        <w:keepLines w:val="0"/>
        <w:widowControl/>
        <w:suppressLineNumbers w:val="0"/>
        <w:spacing w:before="0" w:beforeAutospacing="0" w:after="0" w:afterAutospacing="0" w:line="315" w:lineRule="atLeast"/>
        <w:ind w:left="0" w:right="0" w:firstLine="645"/>
        <w:outlineLvl w:val="1"/>
        <w:rPr>
          <w:sz w:val="32"/>
          <w:szCs w:val="32"/>
        </w:rPr>
      </w:pPr>
      <w:bookmarkStart w:id="14" w:name="_Toc24974"/>
      <w:r>
        <w:rPr>
          <w:rFonts w:hint="default" w:ascii="仿宋_GB2312" w:eastAsia="仿宋_GB2312" w:cs="仿宋_GB2312"/>
          <w:sz w:val="32"/>
          <w:szCs w:val="32"/>
        </w:rPr>
        <w:t>（</w:t>
      </w:r>
      <w:r>
        <w:rPr>
          <w:rFonts w:hint="eastAsia" w:ascii="宋体" w:hAnsi="宋体" w:eastAsia="宋体" w:cs="宋体"/>
          <w:sz w:val="32"/>
          <w:szCs w:val="32"/>
        </w:rPr>
        <w:t>2</w:t>
      </w:r>
      <w:r>
        <w:rPr>
          <w:rFonts w:hint="default" w:ascii="仿宋_GB2312" w:eastAsia="仿宋_GB2312" w:cs="仿宋_GB2312"/>
          <w:sz w:val="32"/>
          <w:szCs w:val="32"/>
        </w:rPr>
        <w:t>）主导产业二</w:t>
      </w:r>
      <w:r>
        <w:rPr>
          <w:rFonts w:hint="eastAsia" w:ascii="宋体" w:hAnsi="宋体" w:eastAsia="宋体" w:cs="宋体"/>
          <w:sz w:val="32"/>
          <w:szCs w:val="32"/>
        </w:rPr>
        <w:t>:</w:t>
      </w:r>
      <w:r>
        <w:rPr>
          <w:rFonts w:hint="default" w:ascii="仿宋_GB2312" w:eastAsia="仿宋_GB2312" w:cs="仿宋_GB2312"/>
          <w:sz w:val="32"/>
          <w:szCs w:val="32"/>
        </w:rPr>
        <w:t>交易服务</w:t>
      </w:r>
      <w:bookmarkEnd w:id="14"/>
    </w:p>
    <w:p>
      <w:pPr>
        <w:pStyle w:val="6"/>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园区与产业电商平台企业、供应链服务企业等合作，整合园区内部及周边相关企业的交易信息流，创新“</w:t>
      </w:r>
      <w:r>
        <w:rPr>
          <w:rFonts w:hint="eastAsia" w:ascii="宋体" w:hAnsi="宋体" w:eastAsia="宋体" w:cs="宋体"/>
          <w:sz w:val="32"/>
          <w:szCs w:val="32"/>
        </w:rPr>
        <w:t>O2O</w:t>
      </w:r>
      <w:r>
        <w:rPr>
          <w:rFonts w:hint="default" w:ascii="仿宋_GB2312" w:eastAsia="仿宋_GB2312" w:cs="仿宋_GB2312"/>
          <w:sz w:val="32"/>
          <w:szCs w:val="32"/>
        </w:rPr>
        <w:t>模型”，构建国际化交易服务体系。</w:t>
      </w:r>
    </w:p>
    <w:p>
      <w:pPr>
        <w:pStyle w:val="6"/>
        <w:keepNext w:val="0"/>
        <w:keepLines w:val="0"/>
        <w:widowControl/>
        <w:suppressLineNumbers w:val="0"/>
        <w:spacing w:before="0" w:beforeAutospacing="0" w:after="0" w:afterAutospacing="0" w:line="315" w:lineRule="atLeast"/>
        <w:ind w:left="0" w:right="0" w:firstLine="645"/>
        <w:outlineLvl w:val="1"/>
        <w:rPr>
          <w:sz w:val="32"/>
          <w:szCs w:val="32"/>
        </w:rPr>
      </w:pPr>
      <w:bookmarkStart w:id="15" w:name="_Toc4229"/>
      <w:r>
        <w:rPr>
          <w:rFonts w:hint="default" w:ascii="仿宋_GB2312" w:eastAsia="仿宋_GB2312" w:cs="仿宋_GB2312"/>
          <w:sz w:val="32"/>
          <w:szCs w:val="32"/>
        </w:rPr>
        <w:t>（</w:t>
      </w:r>
      <w:r>
        <w:rPr>
          <w:rFonts w:hint="eastAsia" w:ascii="宋体" w:hAnsi="宋体" w:eastAsia="宋体" w:cs="宋体"/>
          <w:sz w:val="32"/>
          <w:szCs w:val="32"/>
        </w:rPr>
        <w:t>3</w:t>
      </w:r>
      <w:r>
        <w:rPr>
          <w:rFonts w:hint="default" w:ascii="仿宋_GB2312" w:eastAsia="仿宋_GB2312" w:cs="仿宋_GB2312"/>
          <w:sz w:val="32"/>
          <w:szCs w:val="32"/>
        </w:rPr>
        <w:t>）主导产业三</w:t>
      </w:r>
      <w:r>
        <w:rPr>
          <w:rFonts w:hint="eastAsia" w:ascii="宋体" w:hAnsi="宋体" w:eastAsia="宋体" w:cs="宋体"/>
          <w:sz w:val="32"/>
          <w:szCs w:val="32"/>
        </w:rPr>
        <w:t>:</w:t>
      </w:r>
      <w:r>
        <w:rPr>
          <w:rFonts w:hint="default" w:ascii="仿宋_GB2312" w:eastAsia="仿宋_GB2312" w:cs="仿宋_GB2312"/>
          <w:sz w:val="32"/>
          <w:szCs w:val="32"/>
        </w:rPr>
        <w:t>金融服务</w:t>
      </w:r>
      <w:bookmarkEnd w:id="15"/>
    </w:p>
    <w:p>
      <w:pPr>
        <w:pStyle w:val="6"/>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通过整合金融资源，园区将重点提供四大金融服务，解决中小企业融资难问题。一是政策资金，园区将联合政府制定园区专项政策，帮助入驻企业检索政策、解读政策、申报政策、争取政策，保障入驻企业健康稳定发展。二是供应链金融，联合金融机构，利用区块链技术赋能供应链金融体系，为企业提供经营贷款、垫资采购、仓单质押、应收账款保理等金融服务。三是保险保理，与保险公司合作，提供国际运输保险、出口信用保险、保付代理等保险、保理业务服务。四是设备租赁，园区采购物流企业高频使用的、国际先进的智能物流设备，为入驻企业提供智慧物流设备综合服务，引领入驻企业走向智能化、高端化。</w:t>
      </w:r>
    </w:p>
    <w:p>
      <w:pPr>
        <w:pStyle w:val="6"/>
        <w:keepNext w:val="0"/>
        <w:keepLines w:val="0"/>
        <w:widowControl/>
        <w:suppressLineNumbers w:val="0"/>
        <w:spacing w:before="0" w:beforeAutospacing="0" w:after="0" w:afterAutospacing="0" w:line="315" w:lineRule="atLeast"/>
        <w:ind w:left="0" w:right="0" w:firstLine="645"/>
        <w:outlineLvl w:val="1"/>
        <w:rPr>
          <w:sz w:val="32"/>
          <w:szCs w:val="32"/>
        </w:rPr>
      </w:pPr>
      <w:bookmarkStart w:id="16" w:name="_Toc30202"/>
      <w:r>
        <w:rPr>
          <w:rFonts w:hint="default" w:ascii="仿宋_GB2312" w:eastAsia="仿宋_GB2312" w:cs="仿宋_GB2312"/>
          <w:sz w:val="32"/>
          <w:szCs w:val="32"/>
        </w:rPr>
        <w:t>（</w:t>
      </w:r>
      <w:r>
        <w:rPr>
          <w:rFonts w:hint="eastAsia" w:ascii="宋体" w:hAnsi="宋体" w:eastAsia="宋体" w:cs="宋体"/>
          <w:sz w:val="32"/>
          <w:szCs w:val="32"/>
        </w:rPr>
        <w:t>4</w:t>
      </w:r>
      <w:r>
        <w:rPr>
          <w:rFonts w:hint="default" w:ascii="仿宋_GB2312" w:eastAsia="仿宋_GB2312" w:cs="仿宋_GB2312"/>
          <w:sz w:val="32"/>
          <w:szCs w:val="32"/>
        </w:rPr>
        <w:t>）主导产业四</w:t>
      </w:r>
      <w:r>
        <w:rPr>
          <w:rFonts w:hint="eastAsia" w:ascii="宋体" w:hAnsi="宋体" w:eastAsia="宋体" w:cs="宋体"/>
          <w:sz w:val="32"/>
          <w:szCs w:val="32"/>
        </w:rPr>
        <w:t>:</w:t>
      </w:r>
      <w:r>
        <w:rPr>
          <w:rFonts w:hint="default" w:ascii="仿宋_GB2312" w:eastAsia="仿宋_GB2312" w:cs="仿宋_GB2312"/>
          <w:sz w:val="32"/>
          <w:szCs w:val="32"/>
        </w:rPr>
        <w:t>信息服务</w:t>
      </w:r>
      <w:bookmarkEnd w:id="16"/>
    </w:p>
    <w:p>
      <w:pPr>
        <w:pStyle w:val="6"/>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建设物流大数据中心、物流信息平台，并利用区块链技术建立物流信用评价系统，整合交易、物流、金融、信用等多维度信息，为园区、物流企业、货运司机、贸易商、采购商、金融机构提供集信息搜集、发布、存储、匹配、处理、共享等功能于一体的精准化信息服务。</w:t>
      </w:r>
    </w:p>
    <w:p>
      <w:pPr>
        <w:pStyle w:val="6"/>
        <w:keepNext w:val="0"/>
        <w:keepLines w:val="0"/>
        <w:widowControl/>
        <w:suppressLineNumbers w:val="0"/>
        <w:spacing w:before="0" w:beforeAutospacing="0" w:after="0" w:afterAutospacing="0" w:line="315" w:lineRule="atLeast"/>
        <w:ind w:left="0" w:right="0" w:firstLine="645"/>
        <w:outlineLvl w:val="0"/>
        <w:rPr>
          <w:sz w:val="32"/>
          <w:szCs w:val="32"/>
        </w:rPr>
      </w:pPr>
      <w:bookmarkStart w:id="17" w:name="_Toc30846"/>
      <w:r>
        <w:rPr>
          <w:rFonts w:hint="eastAsia" w:ascii="黑体" w:hAnsi="宋体" w:eastAsia="黑体" w:cs="黑体"/>
          <w:sz w:val="32"/>
          <w:szCs w:val="32"/>
        </w:rPr>
        <w:t>四、基础设施及配套情况</w:t>
      </w:r>
      <w:bookmarkEnd w:id="17"/>
    </w:p>
    <w:p>
      <w:pPr>
        <w:pStyle w:val="6"/>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项目用地性质全部为物流用地。总占地面积约</w:t>
      </w:r>
      <w:r>
        <w:rPr>
          <w:rFonts w:hint="eastAsia" w:ascii="宋体" w:hAnsi="宋体" w:eastAsia="宋体" w:cs="宋体"/>
          <w:sz w:val="32"/>
          <w:szCs w:val="32"/>
        </w:rPr>
        <w:t>1400</w:t>
      </w:r>
      <w:r>
        <w:rPr>
          <w:rFonts w:hint="default" w:ascii="仿宋_GB2312" w:eastAsia="仿宋_GB2312" w:cs="仿宋_GB2312"/>
          <w:sz w:val="32"/>
          <w:szCs w:val="32"/>
        </w:rPr>
        <w:t>亩（含内部市政道路），现已全部征收完毕，其中</w:t>
      </w:r>
      <w:r>
        <w:rPr>
          <w:rFonts w:hint="eastAsia" w:ascii="宋体" w:hAnsi="宋体" w:eastAsia="宋体" w:cs="宋体"/>
          <w:sz w:val="32"/>
          <w:szCs w:val="32"/>
        </w:rPr>
        <w:t>91</w:t>
      </w:r>
      <w:r>
        <w:rPr>
          <w:rFonts w:hint="default" w:ascii="仿宋_GB2312" w:eastAsia="仿宋_GB2312" w:cs="仿宋_GB2312"/>
          <w:sz w:val="32"/>
          <w:szCs w:val="32"/>
        </w:rPr>
        <w:t>亩已完成土地出让。</w:t>
      </w:r>
    </w:p>
    <w:p>
      <w:pPr>
        <w:pStyle w:val="6"/>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地上建筑面积近</w:t>
      </w:r>
      <w:r>
        <w:rPr>
          <w:rFonts w:hint="eastAsia" w:ascii="宋体" w:hAnsi="宋体" w:eastAsia="宋体" w:cs="宋体"/>
          <w:sz w:val="32"/>
          <w:szCs w:val="32"/>
        </w:rPr>
        <w:t>135</w:t>
      </w:r>
      <w:r>
        <w:rPr>
          <w:rFonts w:hint="default" w:ascii="仿宋_GB2312" w:eastAsia="仿宋_GB2312" w:cs="仿宋_GB2312"/>
          <w:sz w:val="32"/>
          <w:szCs w:val="32"/>
        </w:rPr>
        <w:t>万平方米（计容），容积率</w:t>
      </w:r>
      <w:r>
        <w:rPr>
          <w:rFonts w:hint="eastAsia" w:ascii="宋体" w:hAnsi="宋体" w:eastAsia="宋体" w:cs="宋体"/>
          <w:sz w:val="32"/>
          <w:szCs w:val="32"/>
        </w:rPr>
        <w:t>3.2</w:t>
      </w:r>
      <w:r>
        <w:rPr>
          <w:rFonts w:hint="default" w:ascii="仿宋_GB2312" w:eastAsia="仿宋_GB2312" w:cs="仿宋_GB2312"/>
          <w:sz w:val="32"/>
          <w:szCs w:val="32"/>
        </w:rPr>
        <w:t>。根据各个功能的不同，园区分为物流商务核心区、多式联运服务区、智慧云仓物流区，涵盖冷链标库、常温标库、恒温标库、快速分拨库、星级办公等多类型产品。</w:t>
      </w:r>
    </w:p>
    <w:p>
      <w:pPr>
        <w:pStyle w:val="6"/>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具体包含</w:t>
      </w:r>
    </w:p>
    <w:p>
      <w:pPr>
        <w:pStyle w:val="6"/>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（一）水发铁路专用线（含货运站）一座，用地约</w:t>
      </w:r>
      <w:r>
        <w:rPr>
          <w:rFonts w:hint="eastAsia" w:ascii="宋体" w:hAnsi="宋体" w:eastAsia="宋体" w:cs="宋体"/>
          <w:sz w:val="32"/>
          <w:szCs w:val="32"/>
        </w:rPr>
        <w:t>426</w:t>
      </w:r>
      <w:r>
        <w:rPr>
          <w:rFonts w:hint="default" w:ascii="仿宋_GB2312" w:eastAsia="仿宋_GB2312" w:cs="仿宋_GB2312"/>
          <w:sz w:val="32"/>
          <w:szCs w:val="32"/>
        </w:rPr>
        <w:t>亩，线路规划全长约</w:t>
      </w:r>
      <w:r>
        <w:rPr>
          <w:rFonts w:hint="eastAsia" w:ascii="宋体" w:hAnsi="宋体" w:eastAsia="宋体" w:cs="宋体"/>
          <w:sz w:val="32"/>
          <w:szCs w:val="32"/>
        </w:rPr>
        <w:t>2.1</w:t>
      </w:r>
      <w:r>
        <w:rPr>
          <w:rFonts w:hint="default" w:ascii="仿宋_GB2312" w:eastAsia="仿宋_GB2312" w:cs="仿宋_GB2312"/>
          <w:sz w:val="32"/>
          <w:szCs w:val="32"/>
        </w:rPr>
        <w:t>千米；</w:t>
      </w:r>
    </w:p>
    <w:p>
      <w:pPr>
        <w:pStyle w:val="6"/>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（二）</w:t>
      </w:r>
      <w:r>
        <w:rPr>
          <w:rFonts w:hint="eastAsia" w:ascii="宋体" w:hAnsi="宋体" w:eastAsia="宋体" w:cs="宋体"/>
          <w:sz w:val="32"/>
          <w:szCs w:val="32"/>
        </w:rPr>
        <w:t>16</w:t>
      </w:r>
      <w:r>
        <w:rPr>
          <w:rFonts w:hint="default" w:ascii="仿宋_GB2312" w:eastAsia="仿宋_GB2312" w:cs="仿宋_GB2312"/>
          <w:sz w:val="32"/>
          <w:szCs w:val="32"/>
        </w:rPr>
        <w:t>栋</w:t>
      </w:r>
      <w:r>
        <w:rPr>
          <w:rFonts w:hint="eastAsia" w:ascii="宋体" w:hAnsi="宋体" w:eastAsia="宋体" w:cs="宋体"/>
          <w:sz w:val="32"/>
          <w:szCs w:val="32"/>
        </w:rPr>
        <w:t>3</w:t>
      </w:r>
      <w:r>
        <w:rPr>
          <w:rFonts w:hint="default" w:ascii="仿宋_GB2312" w:eastAsia="仿宋_GB2312" w:cs="仿宋_GB2312"/>
          <w:sz w:val="32"/>
          <w:szCs w:val="32"/>
        </w:rPr>
        <w:t>层自动化立体物流仓储，单层层高</w:t>
      </w:r>
      <w:r>
        <w:rPr>
          <w:rFonts w:hint="eastAsia" w:ascii="宋体" w:hAnsi="宋体" w:eastAsia="宋体" w:cs="宋体"/>
          <w:sz w:val="32"/>
          <w:szCs w:val="32"/>
        </w:rPr>
        <w:t>10.8</w:t>
      </w:r>
      <w:r>
        <w:rPr>
          <w:rFonts w:hint="default" w:ascii="仿宋_GB2312" w:eastAsia="仿宋_GB2312" w:cs="仿宋_GB2312"/>
          <w:sz w:val="32"/>
          <w:szCs w:val="32"/>
        </w:rPr>
        <w:t>米，楼面荷载为</w:t>
      </w:r>
      <w:r>
        <w:rPr>
          <w:rFonts w:hint="eastAsia" w:ascii="宋体" w:hAnsi="宋体" w:eastAsia="宋体" w:cs="宋体"/>
          <w:sz w:val="32"/>
          <w:szCs w:val="32"/>
        </w:rPr>
        <w:t>4T</w:t>
      </w:r>
      <w:r>
        <w:rPr>
          <w:rFonts w:hint="default" w:ascii="仿宋_GB2312" w:eastAsia="仿宋_GB2312" w:cs="仿宋_GB2312"/>
          <w:sz w:val="32"/>
          <w:szCs w:val="32"/>
        </w:rPr>
        <w:t>，建筑面积约</w:t>
      </w:r>
      <w:r>
        <w:rPr>
          <w:rFonts w:hint="eastAsia" w:ascii="宋体" w:hAnsi="宋体" w:eastAsia="宋体" w:cs="宋体"/>
          <w:sz w:val="32"/>
          <w:szCs w:val="32"/>
        </w:rPr>
        <w:t>70</w:t>
      </w:r>
      <w:r>
        <w:rPr>
          <w:rFonts w:hint="default" w:ascii="仿宋_GB2312" w:eastAsia="仿宋_GB2312" w:cs="仿宋_GB2312"/>
          <w:sz w:val="32"/>
          <w:szCs w:val="32"/>
        </w:rPr>
        <w:t>万平方米（部分仓库尚未开工建设，可根据业户实际需求定制）：</w:t>
      </w:r>
    </w:p>
    <w:p>
      <w:pPr>
        <w:pStyle w:val="6"/>
        <w:keepNext w:val="0"/>
        <w:keepLines w:val="0"/>
        <w:widowControl/>
        <w:suppressLineNumbers w:val="0"/>
        <w:spacing w:before="0" w:beforeAutospacing="0" w:after="0" w:afterAutospacing="0" w:line="315" w:lineRule="atLeast"/>
        <w:ind w:left="0" w:right="0" w:firstLine="645"/>
        <w:rPr>
          <w:sz w:val="32"/>
          <w:szCs w:val="32"/>
        </w:rPr>
      </w:pPr>
      <w:r>
        <w:rPr>
          <w:rFonts w:hint="eastAsia" w:ascii="宋体" w:hAnsi="宋体" w:eastAsia="宋体" w:cs="宋体"/>
          <w:sz w:val="32"/>
          <w:szCs w:val="32"/>
        </w:rPr>
        <w:t>1</w:t>
      </w:r>
      <w:r>
        <w:rPr>
          <w:rFonts w:hint="default" w:ascii="仿宋_GB2312" w:eastAsia="仿宋_GB2312" w:cs="仿宋_GB2312"/>
          <w:sz w:val="32"/>
          <w:szCs w:val="32"/>
        </w:rPr>
        <w:t>、</w:t>
      </w:r>
      <w:r>
        <w:rPr>
          <w:rFonts w:hint="eastAsia" w:ascii="宋体" w:hAnsi="宋体" w:eastAsia="宋体" w:cs="宋体"/>
          <w:sz w:val="32"/>
          <w:szCs w:val="32"/>
        </w:rPr>
        <w:t>3</w:t>
      </w:r>
      <w:r>
        <w:rPr>
          <w:rFonts w:hint="default" w:ascii="仿宋_GB2312" w:eastAsia="仿宋_GB2312" w:cs="仿宋_GB2312"/>
          <w:sz w:val="32"/>
          <w:szCs w:val="32"/>
        </w:rPr>
        <w:t>层自动化冷链仓库，分为超冷货区（</w:t>
      </w:r>
      <w:r>
        <w:rPr>
          <w:rFonts w:hint="eastAsia" w:ascii="宋体" w:hAnsi="宋体" w:eastAsia="宋体" w:cs="宋体"/>
          <w:sz w:val="32"/>
          <w:szCs w:val="32"/>
        </w:rPr>
        <w:t>-50</w:t>
      </w:r>
      <w:r>
        <w:rPr>
          <w:rFonts w:hint="default" w:ascii="仿宋_GB2312" w:eastAsia="仿宋_GB2312" w:cs="仿宋_GB2312"/>
          <w:sz w:val="32"/>
          <w:szCs w:val="32"/>
        </w:rPr>
        <w:t>℃以下）、深冷货区（</w:t>
      </w:r>
      <w:r>
        <w:rPr>
          <w:rFonts w:hint="eastAsia" w:ascii="宋体" w:hAnsi="宋体" w:eastAsia="宋体" w:cs="宋体"/>
          <w:sz w:val="32"/>
          <w:szCs w:val="32"/>
        </w:rPr>
        <w:t>-25</w:t>
      </w:r>
      <w:r>
        <w:rPr>
          <w:rFonts w:hint="default" w:ascii="仿宋_GB2312" w:eastAsia="仿宋_GB2312" w:cs="仿宋_GB2312"/>
          <w:sz w:val="32"/>
          <w:szCs w:val="32"/>
        </w:rPr>
        <w:t>℃</w:t>
      </w:r>
      <w:r>
        <w:rPr>
          <w:rFonts w:hint="eastAsia" w:ascii="宋体" w:hAnsi="宋体" w:eastAsia="宋体" w:cs="宋体"/>
          <w:sz w:val="32"/>
          <w:szCs w:val="32"/>
        </w:rPr>
        <w:t>~-50</w:t>
      </w:r>
      <w:r>
        <w:rPr>
          <w:rFonts w:hint="default" w:ascii="仿宋_GB2312" w:eastAsia="仿宋_GB2312" w:cs="仿宋_GB2312"/>
          <w:sz w:val="32"/>
          <w:szCs w:val="32"/>
        </w:rPr>
        <w:t>℃）、普冷货区（</w:t>
      </w:r>
      <w:r>
        <w:rPr>
          <w:rFonts w:hint="eastAsia" w:ascii="宋体" w:hAnsi="宋体" w:eastAsia="宋体" w:cs="宋体"/>
          <w:sz w:val="32"/>
          <w:szCs w:val="32"/>
        </w:rPr>
        <w:t>-25</w:t>
      </w:r>
      <w:r>
        <w:rPr>
          <w:rFonts w:hint="default" w:ascii="仿宋_GB2312" w:eastAsia="仿宋_GB2312" w:cs="仿宋_GB2312"/>
          <w:sz w:val="32"/>
          <w:szCs w:val="32"/>
        </w:rPr>
        <w:t>℃～</w:t>
      </w:r>
      <w:r>
        <w:rPr>
          <w:rFonts w:hint="eastAsia" w:ascii="宋体" w:hAnsi="宋体" w:eastAsia="宋体" w:cs="宋体"/>
          <w:sz w:val="32"/>
          <w:szCs w:val="32"/>
        </w:rPr>
        <w:t>0</w:t>
      </w:r>
      <w:r>
        <w:rPr>
          <w:rFonts w:hint="default" w:ascii="仿宋_GB2312" w:eastAsia="仿宋_GB2312" w:cs="仿宋_GB2312"/>
          <w:sz w:val="32"/>
          <w:szCs w:val="32"/>
        </w:rPr>
        <w:t>℃）、保鲜货区（</w:t>
      </w:r>
      <w:r>
        <w:rPr>
          <w:rFonts w:hint="eastAsia" w:ascii="宋体" w:hAnsi="宋体" w:eastAsia="宋体" w:cs="宋体"/>
          <w:sz w:val="32"/>
          <w:szCs w:val="32"/>
        </w:rPr>
        <w:t>0</w:t>
      </w:r>
      <w:r>
        <w:rPr>
          <w:rFonts w:hint="default" w:ascii="仿宋_GB2312" w:eastAsia="仿宋_GB2312" w:cs="仿宋_GB2312"/>
          <w:sz w:val="32"/>
          <w:szCs w:val="32"/>
        </w:rPr>
        <w:t>℃～</w:t>
      </w:r>
      <w:r>
        <w:rPr>
          <w:rFonts w:hint="eastAsia" w:ascii="宋体" w:hAnsi="宋体" w:eastAsia="宋体" w:cs="宋体"/>
          <w:sz w:val="32"/>
          <w:szCs w:val="32"/>
        </w:rPr>
        <w:t>10</w:t>
      </w:r>
      <w:r>
        <w:rPr>
          <w:rFonts w:hint="default" w:ascii="仿宋_GB2312" w:eastAsia="仿宋_GB2312" w:cs="仿宋_GB2312"/>
          <w:sz w:val="32"/>
          <w:szCs w:val="32"/>
        </w:rPr>
        <w:t>℃）</w:t>
      </w:r>
      <w:r>
        <w:rPr>
          <w:rFonts w:hint="eastAsia" w:ascii="宋体" w:hAnsi="宋体" w:eastAsia="宋体" w:cs="宋体"/>
          <w:sz w:val="32"/>
          <w:szCs w:val="32"/>
        </w:rPr>
        <w:t>,</w:t>
      </w:r>
      <w:r>
        <w:rPr>
          <w:rFonts w:hint="default" w:ascii="仿宋_GB2312" w:eastAsia="仿宋_GB2312" w:cs="仿宋_GB2312"/>
          <w:sz w:val="32"/>
          <w:szCs w:val="32"/>
        </w:rPr>
        <w:t>兼具冷藏加工、装卸搬运、分拨配送功能。</w:t>
      </w:r>
    </w:p>
    <w:p>
      <w:pPr>
        <w:pStyle w:val="6"/>
        <w:keepNext w:val="0"/>
        <w:keepLines w:val="0"/>
        <w:widowControl/>
        <w:suppressLineNumbers w:val="0"/>
        <w:spacing w:before="0" w:beforeAutospacing="0" w:after="0" w:afterAutospacing="0" w:line="315" w:lineRule="atLeast"/>
        <w:ind w:left="0" w:right="0" w:firstLine="645"/>
        <w:rPr>
          <w:sz w:val="32"/>
          <w:szCs w:val="32"/>
        </w:rPr>
      </w:pPr>
      <w:r>
        <w:rPr>
          <w:rFonts w:hint="eastAsia" w:ascii="宋体" w:hAnsi="宋体" w:eastAsia="宋体" w:cs="宋体"/>
          <w:sz w:val="32"/>
          <w:szCs w:val="32"/>
        </w:rPr>
        <w:t>2</w:t>
      </w:r>
      <w:r>
        <w:rPr>
          <w:rFonts w:hint="default" w:ascii="仿宋_GB2312" w:eastAsia="仿宋_GB2312" w:cs="仿宋_GB2312"/>
          <w:sz w:val="32"/>
          <w:szCs w:val="32"/>
        </w:rPr>
        <w:t>、</w:t>
      </w:r>
      <w:r>
        <w:rPr>
          <w:rFonts w:hint="eastAsia" w:ascii="宋体" w:hAnsi="宋体" w:eastAsia="宋体" w:cs="宋体"/>
          <w:sz w:val="32"/>
          <w:szCs w:val="32"/>
        </w:rPr>
        <w:t>3</w:t>
      </w:r>
      <w:r>
        <w:rPr>
          <w:rFonts w:hint="default" w:ascii="仿宋_GB2312" w:eastAsia="仿宋_GB2312" w:cs="仿宋_GB2312"/>
          <w:sz w:val="32"/>
          <w:szCs w:val="32"/>
        </w:rPr>
        <w:t>层自动化常温标库，集合公共仓储、金融仓储、流通加工、分拨配送等功能；</w:t>
      </w:r>
    </w:p>
    <w:p>
      <w:pPr>
        <w:pStyle w:val="6"/>
        <w:keepNext w:val="0"/>
        <w:keepLines w:val="0"/>
        <w:widowControl/>
        <w:suppressLineNumbers w:val="0"/>
        <w:spacing w:before="0" w:beforeAutospacing="0" w:after="0" w:afterAutospacing="0" w:line="315" w:lineRule="atLeast"/>
        <w:ind w:left="0" w:right="0" w:firstLine="645"/>
        <w:rPr>
          <w:sz w:val="32"/>
          <w:szCs w:val="32"/>
        </w:rPr>
      </w:pPr>
      <w:r>
        <w:rPr>
          <w:rFonts w:hint="eastAsia" w:ascii="宋体" w:hAnsi="宋体" w:eastAsia="宋体" w:cs="宋体"/>
          <w:sz w:val="32"/>
          <w:szCs w:val="32"/>
        </w:rPr>
        <w:t>3</w:t>
      </w:r>
      <w:r>
        <w:rPr>
          <w:rFonts w:hint="default" w:ascii="仿宋_GB2312" w:eastAsia="仿宋_GB2312" w:cs="仿宋_GB2312"/>
          <w:sz w:val="32"/>
          <w:szCs w:val="32"/>
        </w:rPr>
        <w:t>、</w:t>
      </w:r>
      <w:r>
        <w:rPr>
          <w:rFonts w:hint="eastAsia" w:ascii="宋体" w:hAnsi="宋体" w:eastAsia="宋体" w:cs="宋体"/>
          <w:sz w:val="32"/>
          <w:szCs w:val="32"/>
        </w:rPr>
        <w:t>3</w:t>
      </w:r>
      <w:r>
        <w:rPr>
          <w:rFonts w:hint="default" w:ascii="仿宋_GB2312" w:eastAsia="仿宋_GB2312" w:cs="仿宋_GB2312"/>
          <w:sz w:val="32"/>
          <w:szCs w:val="32"/>
        </w:rPr>
        <w:t>层自动化恒温标库，全封闭管理、配备恒温恒湿系统、温湿可控，适合农业产品、海鲜水产、生鲜果蔬等产品的存储及分拣分装；</w:t>
      </w:r>
    </w:p>
    <w:p>
      <w:pPr>
        <w:pStyle w:val="6"/>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（三）</w:t>
      </w:r>
      <w:r>
        <w:rPr>
          <w:rFonts w:hint="eastAsia" w:ascii="宋体" w:hAnsi="宋体" w:eastAsia="宋体" w:cs="宋体"/>
          <w:sz w:val="32"/>
          <w:szCs w:val="32"/>
        </w:rPr>
        <w:t>3</w:t>
      </w:r>
      <w:r>
        <w:rPr>
          <w:rFonts w:hint="default" w:ascii="仿宋_GB2312" w:eastAsia="仿宋_GB2312" w:cs="仿宋_GB2312"/>
          <w:sz w:val="32"/>
          <w:szCs w:val="32"/>
        </w:rPr>
        <w:t>栋商务办公楼、</w:t>
      </w:r>
      <w:r>
        <w:rPr>
          <w:rFonts w:hint="eastAsia" w:ascii="宋体" w:hAnsi="宋体" w:eastAsia="宋体" w:cs="宋体"/>
          <w:sz w:val="32"/>
          <w:szCs w:val="32"/>
        </w:rPr>
        <w:t>1</w:t>
      </w:r>
      <w:r>
        <w:rPr>
          <w:rFonts w:hint="default" w:ascii="仿宋_GB2312" w:eastAsia="仿宋_GB2312" w:cs="仿宋_GB2312"/>
          <w:sz w:val="32"/>
          <w:szCs w:val="32"/>
        </w:rPr>
        <w:t>栋产品体验中心、约</w:t>
      </w:r>
      <w:r>
        <w:rPr>
          <w:rFonts w:hint="eastAsia" w:ascii="宋体" w:hAnsi="宋体" w:eastAsia="宋体" w:cs="宋体"/>
          <w:sz w:val="32"/>
          <w:szCs w:val="32"/>
        </w:rPr>
        <w:t>5000</w:t>
      </w:r>
      <w:r>
        <w:rPr>
          <w:rFonts w:hint="default" w:ascii="仿宋_GB2312" w:eastAsia="仿宋_GB2312" w:cs="仿宋_GB2312"/>
          <w:sz w:val="32"/>
          <w:szCs w:val="32"/>
        </w:rPr>
        <w:t>个智能停车位、</w:t>
      </w:r>
      <w:r>
        <w:rPr>
          <w:rFonts w:hint="eastAsia" w:ascii="宋体" w:hAnsi="宋体" w:eastAsia="宋体" w:cs="宋体"/>
          <w:sz w:val="32"/>
          <w:szCs w:val="32"/>
        </w:rPr>
        <w:t>3</w:t>
      </w:r>
      <w:r>
        <w:rPr>
          <w:rFonts w:hint="default" w:ascii="仿宋_GB2312" w:eastAsia="仿宋_GB2312" w:cs="仿宋_GB2312"/>
          <w:sz w:val="32"/>
          <w:szCs w:val="32"/>
        </w:rPr>
        <w:t>栋倒班楼，共计约</w:t>
      </w:r>
      <w:r>
        <w:rPr>
          <w:rFonts w:hint="eastAsia" w:ascii="宋体" w:hAnsi="宋体" w:eastAsia="宋体" w:cs="宋体"/>
          <w:sz w:val="32"/>
          <w:szCs w:val="32"/>
        </w:rPr>
        <w:t>20</w:t>
      </w:r>
      <w:r>
        <w:rPr>
          <w:rFonts w:hint="default" w:ascii="仿宋_GB2312" w:eastAsia="仿宋_GB2312" w:cs="仿宋_GB2312"/>
          <w:sz w:val="32"/>
          <w:szCs w:val="32"/>
        </w:rPr>
        <w:t>万平方米，含水发物流总部办公、商务办公（贸易企业、物流企业、规划设计企业、供应链金融企业、电子商务企业）、会议中心、大数据中心等功能，兼具医院、学校、星级酒店、购物休闲、住宅公寓、银行金融机构等生活配套设施。</w:t>
      </w:r>
    </w:p>
    <w:p>
      <w:pPr>
        <w:pStyle w:val="6"/>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（四）出入口布置及交通流线</w:t>
      </w:r>
    </w:p>
    <w:p>
      <w:pPr>
        <w:pStyle w:val="6"/>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本项目利用市政道路共设置</w:t>
      </w:r>
      <w:r>
        <w:rPr>
          <w:rFonts w:hint="eastAsia" w:ascii="宋体" w:hAnsi="宋体" w:eastAsia="宋体" w:cs="宋体"/>
          <w:sz w:val="32"/>
          <w:szCs w:val="32"/>
        </w:rPr>
        <w:t>14</w:t>
      </w:r>
      <w:r>
        <w:rPr>
          <w:rFonts w:hint="default" w:ascii="仿宋_GB2312" w:eastAsia="仿宋_GB2312" w:cs="仿宋_GB2312"/>
          <w:sz w:val="32"/>
          <w:szCs w:val="32"/>
        </w:rPr>
        <w:t>个出入口，</w:t>
      </w:r>
      <w:r>
        <w:rPr>
          <w:rFonts w:hint="eastAsia" w:ascii="宋体" w:hAnsi="宋体" w:eastAsia="宋体" w:cs="宋体"/>
          <w:sz w:val="32"/>
          <w:szCs w:val="32"/>
        </w:rPr>
        <w:t>A</w:t>
      </w:r>
      <w:r>
        <w:rPr>
          <w:rFonts w:hint="default" w:ascii="仿宋_GB2312" w:eastAsia="仿宋_GB2312" w:cs="仿宋_GB2312"/>
          <w:sz w:val="32"/>
          <w:szCs w:val="32"/>
        </w:rPr>
        <w:t>地块利用东、西侧市政道路各设置</w:t>
      </w:r>
      <w:r>
        <w:rPr>
          <w:rFonts w:hint="eastAsia" w:ascii="宋体" w:hAnsi="宋体" w:eastAsia="宋体" w:cs="宋体"/>
          <w:sz w:val="32"/>
          <w:szCs w:val="32"/>
        </w:rPr>
        <w:t>1</w:t>
      </w:r>
      <w:r>
        <w:rPr>
          <w:rFonts w:hint="default" w:ascii="仿宋_GB2312" w:eastAsia="仿宋_GB2312" w:cs="仿宋_GB2312"/>
          <w:sz w:val="32"/>
          <w:szCs w:val="32"/>
        </w:rPr>
        <w:t>个出入口；</w:t>
      </w:r>
      <w:r>
        <w:rPr>
          <w:rFonts w:hint="eastAsia" w:ascii="宋体" w:hAnsi="宋体" w:eastAsia="宋体" w:cs="宋体"/>
          <w:sz w:val="32"/>
          <w:szCs w:val="32"/>
        </w:rPr>
        <w:t>B</w:t>
      </w:r>
      <w:r>
        <w:rPr>
          <w:rFonts w:hint="default" w:ascii="仿宋_GB2312" w:eastAsia="仿宋_GB2312" w:cs="仿宋_GB2312"/>
          <w:sz w:val="32"/>
          <w:szCs w:val="32"/>
        </w:rPr>
        <w:t>地块利用东、南、西、北侧市政道路各设置</w:t>
      </w:r>
      <w:r>
        <w:rPr>
          <w:rFonts w:hint="eastAsia" w:ascii="宋体" w:hAnsi="宋体" w:eastAsia="宋体" w:cs="宋体"/>
          <w:sz w:val="32"/>
          <w:szCs w:val="32"/>
        </w:rPr>
        <w:t>1</w:t>
      </w:r>
      <w:r>
        <w:rPr>
          <w:rFonts w:hint="default" w:ascii="仿宋_GB2312" w:eastAsia="仿宋_GB2312" w:cs="仿宋_GB2312"/>
          <w:sz w:val="32"/>
          <w:szCs w:val="32"/>
        </w:rPr>
        <w:t>个出入口；</w:t>
      </w:r>
      <w:r>
        <w:rPr>
          <w:rFonts w:hint="eastAsia" w:ascii="宋体" w:hAnsi="宋体" w:eastAsia="宋体" w:cs="宋体"/>
          <w:sz w:val="32"/>
          <w:szCs w:val="32"/>
        </w:rPr>
        <w:t>C</w:t>
      </w:r>
      <w:r>
        <w:rPr>
          <w:rFonts w:hint="default" w:ascii="仿宋_GB2312" w:eastAsia="仿宋_GB2312" w:cs="仿宋_GB2312"/>
          <w:sz w:val="32"/>
          <w:szCs w:val="32"/>
        </w:rPr>
        <w:t>地块利用东、西侧市政道路各设置</w:t>
      </w:r>
      <w:r>
        <w:rPr>
          <w:rFonts w:hint="eastAsia" w:ascii="宋体" w:hAnsi="宋体" w:eastAsia="宋体" w:cs="宋体"/>
          <w:sz w:val="32"/>
          <w:szCs w:val="32"/>
        </w:rPr>
        <w:t>1</w:t>
      </w:r>
      <w:r>
        <w:rPr>
          <w:rFonts w:hint="default" w:ascii="仿宋_GB2312" w:eastAsia="仿宋_GB2312" w:cs="仿宋_GB2312"/>
          <w:sz w:val="32"/>
          <w:szCs w:val="32"/>
        </w:rPr>
        <w:t>个出入口；</w:t>
      </w:r>
      <w:r>
        <w:rPr>
          <w:rFonts w:hint="eastAsia" w:ascii="宋体" w:hAnsi="宋体" w:eastAsia="宋体" w:cs="宋体"/>
          <w:sz w:val="32"/>
          <w:szCs w:val="32"/>
        </w:rPr>
        <w:t>D</w:t>
      </w:r>
      <w:r>
        <w:rPr>
          <w:rFonts w:hint="default" w:ascii="仿宋_GB2312" w:eastAsia="仿宋_GB2312" w:cs="仿宋_GB2312"/>
          <w:sz w:val="32"/>
          <w:szCs w:val="32"/>
        </w:rPr>
        <w:t>地块利用东、西侧市政道路各设置</w:t>
      </w:r>
      <w:r>
        <w:rPr>
          <w:rFonts w:hint="eastAsia" w:ascii="宋体" w:hAnsi="宋体" w:eastAsia="宋体" w:cs="宋体"/>
          <w:sz w:val="32"/>
          <w:szCs w:val="32"/>
        </w:rPr>
        <w:t>1</w:t>
      </w:r>
      <w:r>
        <w:rPr>
          <w:rFonts w:hint="default" w:ascii="仿宋_GB2312" w:eastAsia="仿宋_GB2312" w:cs="仿宋_GB2312"/>
          <w:sz w:val="32"/>
          <w:szCs w:val="32"/>
        </w:rPr>
        <w:t>个出入口；</w:t>
      </w:r>
      <w:r>
        <w:rPr>
          <w:rFonts w:hint="eastAsia" w:ascii="宋体" w:hAnsi="宋体" w:eastAsia="宋体" w:cs="宋体"/>
          <w:sz w:val="32"/>
          <w:szCs w:val="32"/>
        </w:rPr>
        <w:t>E</w:t>
      </w:r>
      <w:r>
        <w:rPr>
          <w:rFonts w:hint="default" w:ascii="仿宋_GB2312" w:eastAsia="仿宋_GB2312" w:cs="仿宋_GB2312"/>
          <w:sz w:val="32"/>
          <w:szCs w:val="32"/>
        </w:rPr>
        <w:t>地块利用南、北侧市政道路各设置</w:t>
      </w:r>
      <w:r>
        <w:rPr>
          <w:rFonts w:hint="eastAsia" w:ascii="宋体" w:hAnsi="宋体" w:eastAsia="宋体" w:cs="宋体"/>
          <w:sz w:val="32"/>
          <w:szCs w:val="32"/>
        </w:rPr>
        <w:t>1</w:t>
      </w:r>
      <w:r>
        <w:rPr>
          <w:rFonts w:hint="default" w:ascii="仿宋_GB2312" w:eastAsia="仿宋_GB2312" w:cs="仿宋_GB2312"/>
          <w:sz w:val="32"/>
          <w:szCs w:val="32"/>
        </w:rPr>
        <w:t>个出入口，均为</w:t>
      </w:r>
      <w:r>
        <w:rPr>
          <w:rFonts w:hint="eastAsia" w:ascii="宋体" w:hAnsi="宋体" w:eastAsia="宋体" w:cs="宋体"/>
          <w:sz w:val="32"/>
          <w:szCs w:val="32"/>
        </w:rPr>
        <w:t>15m</w:t>
      </w:r>
      <w:r>
        <w:rPr>
          <w:rFonts w:hint="default" w:ascii="仿宋_GB2312" w:eastAsia="仿宋_GB2312" w:cs="仿宋_GB2312"/>
          <w:sz w:val="32"/>
          <w:szCs w:val="32"/>
        </w:rPr>
        <w:t>宽出入口。通过各出入口的整体联系有机组织园区内车行流线，使园区的运营简洁、高效。</w:t>
      </w:r>
    </w:p>
    <w:p>
      <w:pPr>
        <w:pStyle w:val="6"/>
        <w:keepNext w:val="0"/>
        <w:keepLines w:val="0"/>
        <w:widowControl/>
        <w:suppressLineNumbers w:val="0"/>
        <w:spacing w:before="0" w:beforeAutospacing="0" w:after="0" w:afterAutospacing="0" w:line="315" w:lineRule="atLeast"/>
        <w:ind w:left="0" w:right="0" w:firstLine="645"/>
        <w:outlineLvl w:val="0"/>
        <w:rPr>
          <w:sz w:val="32"/>
          <w:szCs w:val="32"/>
        </w:rPr>
      </w:pPr>
      <w:bookmarkStart w:id="18" w:name="_Toc31353"/>
      <w:r>
        <w:rPr>
          <w:rFonts w:hint="eastAsia" w:ascii="黑体" w:hAnsi="宋体" w:eastAsia="黑体" w:cs="黑体"/>
          <w:sz w:val="32"/>
          <w:szCs w:val="32"/>
        </w:rPr>
        <w:t>五、联系方式</w:t>
      </w:r>
      <w:bookmarkEnd w:id="18"/>
    </w:p>
    <w:p>
      <w:pPr>
        <w:pStyle w:val="6"/>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联系人：张馨元</w:t>
      </w:r>
      <w:r>
        <w:rPr>
          <w:rFonts w:hint="eastAsia" w:ascii="宋体" w:hAnsi="宋体" w:eastAsia="宋体" w:cs="宋体"/>
          <w:sz w:val="32"/>
          <w:szCs w:val="32"/>
        </w:rPr>
        <w:t>           </w:t>
      </w:r>
    </w:p>
    <w:p>
      <w:pPr>
        <w:pStyle w:val="6"/>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联系电话：</w:t>
      </w:r>
      <w:r>
        <w:rPr>
          <w:rFonts w:hint="eastAsia" w:ascii="宋体" w:hAnsi="宋体" w:eastAsia="宋体" w:cs="宋体"/>
          <w:sz w:val="32"/>
          <w:szCs w:val="32"/>
        </w:rPr>
        <w:t>15688837975</w:t>
      </w:r>
    </w:p>
    <w:p>
      <w:pPr>
        <w:pStyle w:val="6"/>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电子邮箱：</w:t>
      </w:r>
      <w:r>
        <w:rPr>
          <w:rFonts w:hint="eastAsia" w:ascii="宋体" w:hAnsi="宋体" w:eastAsia="宋体" w:cs="宋体"/>
          <w:sz w:val="32"/>
          <w:szCs w:val="32"/>
        </w:rPr>
        <w:t>942450521@qq.com </w:t>
      </w:r>
    </w:p>
    <w:p>
      <w:pPr>
        <w:pStyle w:val="6"/>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微信号：水发物流集团</w:t>
      </w:r>
      <w:r>
        <w:rPr>
          <w:rFonts w:hint="eastAsia" w:ascii="宋体" w:hAnsi="宋体" w:eastAsia="宋体" w:cs="宋体"/>
          <w:sz w:val="32"/>
          <w:szCs w:val="32"/>
        </w:rPr>
        <w:t>     </w:t>
      </w:r>
    </w:p>
    <w:p>
      <w:pPr>
        <w:pStyle w:val="6"/>
        <w:keepNext w:val="0"/>
        <w:keepLines w:val="0"/>
        <w:widowControl/>
        <w:suppressLineNumbers w:val="0"/>
        <w:spacing w:before="0" w:beforeAutospacing="0" w:after="0" w:afterAutospacing="0" w:line="315" w:lineRule="atLeast"/>
        <w:ind w:left="0" w:right="0" w:firstLine="645"/>
        <w:rPr>
          <w:sz w:val="32"/>
          <w:szCs w:val="32"/>
        </w:rPr>
      </w:pPr>
    </w:p>
    <w:p>
      <w:pPr>
        <w:pStyle w:val="6"/>
        <w:keepNext w:val="0"/>
        <w:keepLines w:val="0"/>
        <w:widowControl/>
        <w:suppressLineNumbers w:val="0"/>
        <w:spacing w:before="0" w:beforeAutospacing="0" w:after="210" w:afterAutospacing="0" w:line="315" w:lineRule="atLeast"/>
        <w:ind w:left="0" w:right="0"/>
        <w:rPr>
          <w:sz w:val="32"/>
          <w:szCs w:val="32"/>
        </w:rPr>
      </w:pPr>
    </w:p>
    <w:p>
      <w:pPr>
        <w:pStyle w:val="6"/>
        <w:keepNext w:val="0"/>
        <w:keepLines w:val="0"/>
        <w:widowControl/>
        <w:suppressLineNumbers w:val="0"/>
        <w:spacing w:before="0" w:beforeAutospacing="0" w:after="0" w:afterAutospacing="0" w:line="420" w:lineRule="atLeast"/>
        <w:ind w:left="0" w:right="0"/>
        <w:rPr>
          <w:sz w:val="32"/>
          <w:szCs w:val="32"/>
        </w:rPr>
      </w:pPr>
    </w:p>
    <w:p>
      <w:pPr>
        <w:pStyle w:val="6"/>
        <w:keepNext w:val="0"/>
        <w:keepLines w:val="0"/>
        <w:widowControl/>
        <w:suppressLineNumbers w:val="0"/>
        <w:spacing w:before="0" w:beforeAutospacing="0" w:after="0" w:afterAutospacing="0" w:line="420" w:lineRule="atLeast"/>
        <w:ind w:left="0" w:right="0"/>
        <w:rPr>
          <w:sz w:val="32"/>
          <w:szCs w:val="32"/>
        </w:rPr>
      </w:pPr>
    </w:p>
    <w:p>
      <w:pPr>
        <w:pStyle w:val="6"/>
        <w:keepNext w:val="0"/>
        <w:keepLines w:val="0"/>
        <w:widowControl/>
        <w:suppressLineNumbers w:val="0"/>
        <w:spacing w:before="165" w:beforeAutospacing="0" w:after="0" w:afterAutospacing="0" w:line="360" w:lineRule="atLeast"/>
        <w:ind w:left="0" w:right="255" w:firstLine="885"/>
        <w:jc w:val="center"/>
        <w:outlineLvl w:val="0"/>
        <w:rPr>
          <w:rFonts w:ascii="方正小标宋简体" w:hAnsi="方正小标宋简体" w:eastAsia="方正小标宋简体" w:cs="方正小标宋简体"/>
          <w:b/>
          <w:bCs/>
          <w:sz w:val="44"/>
          <w:szCs w:val="44"/>
        </w:rPr>
      </w:pPr>
      <w:bookmarkStart w:id="19" w:name="_Toc12641"/>
      <w:r>
        <w:rPr>
          <w:rFonts w:ascii="方正小标宋简体" w:hAnsi="方正小标宋简体" w:eastAsia="方正小标宋简体" w:cs="方正小标宋简体"/>
          <w:b/>
          <w:bCs/>
          <w:sz w:val="44"/>
          <w:szCs w:val="44"/>
        </w:rPr>
        <w:t>平阴物流总部基地项目</w:t>
      </w:r>
      <w:bookmarkEnd w:id="19"/>
    </w:p>
    <w:p>
      <w:pPr>
        <w:pStyle w:val="6"/>
        <w:keepNext w:val="0"/>
        <w:keepLines w:val="0"/>
        <w:widowControl/>
        <w:suppressLineNumbers w:val="0"/>
        <w:spacing w:before="0" w:beforeAutospacing="0" w:after="0" w:afterAutospacing="0" w:line="315" w:lineRule="atLeast"/>
        <w:ind w:left="0" w:right="0" w:firstLine="645"/>
        <w:outlineLvl w:val="0"/>
        <w:rPr>
          <w:sz w:val="32"/>
          <w:szCs w:val="32"/>
        </w:rPr>
      </w:pPr>
      <w:bookmarkStart w:id="20" w:name="_Toc2510"/>
      <w:r>
        <w:rPr>
          <w:rFonts w:ascii="黑体" w:hAnsi="宋体" w:eastAsia="黑体" w:cs="黑体"/>
          <w:sz w:val="32"/>
          <w:szCs w:val="32"/>
        </w:rPr>
        <w:t>一、项目名称</w:t>
      </w:r>
      <w:bookmarkEnd w:id="20"/>
    </w:p>
    <w:p>
      <w:pPr>
        <w:pStyle w:val="6"/>
        <w:keepNext w:val="0"/>
        <w:keepLines w:val="0"/>
        <w:widowControl/>
        <w:suppressLineNumbers w:val="0"/>
        <w:spacing w:before="0" w:beforeAutospacing="0" w:after="0" w:afterAutospacing="0" w:line="315" w:lineRule="atLeast"/>
        <w:ind w:left="0" w:right="0" w:firstLine="645"/>
        <w:rPr>
          <w:sz w:val="32"/>
          <w:szCs w:val="32"/>
        </w:rPr>
      </w:pPr>
      <w:r>
        <w:rPr>
          <w:rFonts w:ascii="仿宋_GB2312" w:eastAsia="仿宋_GB2312" w:cs="仿宋_GB2312"/>
          <w:sz w:val="32"/>
          <w:szCs w:val="32"/>
        </w:rPr>
        <w:t>平阴物流总部基地项目</w:t>
      </w:r>
    </w:p>
    <w:p>
      <w:pPr>
        <w:pStyle w:val="6"/>
        <w:keepNext w:val="0"/>
        <w:keepLines w:val="0"/>
        <w:widowControl/>
        <w:suppressLineNumbers w:val="0"/>
        <w:spacing w:before="0" w:beforeAutospacing="0" w:after="0" w:afterAutospacing="0" w:line="315" w:lineRule="atLeast"/>
        <w:ind w:left="0" w:right="0" w:firstLine="645"/>
        <w:outlineLvl w:val="0"/>
        <w:rPr>
          <w:sz w:val="32"/>
          <w:szCs w:val="32"/>
        </w:rPr>
      </w:pPr>
      <w:bookmarkStart w:id="21" w:name="_Toc11784"/>
      <w:r>
        <w:rPr>
          <w:rFonts w:hint="eastAsia" w:ascii="黑体" w:hAnsi="宋体" w:eastAsia="黑体" w:cs="黑体"/>
          <w:sz w:val="32"/>
          <w:szCs w:val="32"/>
        </w:rPr>
        <w:t>二、项目单位简介</w:t>
      </w:r>
      <w:bookmarkEnd w:id="21"/>
    </w:p>
    <w:p>
      <w:pPr>
        <w:pStyle w:val="6"/>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平阴交通物流发展有限公司成立于</w:t>
      </w:r>
      <w:r>
        <w:rPr>
          <w:rFonts w:hint="eastAsia" w:ascii="宋体" w:hAnsi="宋体" w:eastAsia="宋体" w:cs="宋体"/>
          <w:sz w:val="32"/>
          <w:szCs w:val="32"/>
        </w:rPr>
        <w:t>2020</w:t>
      </w:r>
      <w:r>
        <w:rPr>
          <w:rFonts w:hint="default" w:ascii="仿宋_GB2312" w:eastAsia="仿宋_GB2312" w:cs="仿宋_GB2312"/>
          <w:sz w:val="32"/>
          <w:szCs w:val="32"/>
        </w:rPr>
        <w:t>年</w:t>
      </w:r>
      <w:r>
        <w:rPr>
          <w:rFonts w:hint="eastAsia" w:ascii="宋体" w:hAnsi="宋体" w:eastAsia="宋体" w:cs="宋体"/>
          <w:sz w:val="32"/>
          <w:szCs w:val="32"/>
        </w:rPr>
        <w:t>10</w:t>
      </w:r>
      <w:r>
        <w:rPr>
          <w:rFonts w:hint="default" w:ascii="仿宋_GB2312" w:eastAsia="仿宋_GB2312" w:cs="仿宋_GB2312"/>
          <w:sz w:val="32"/>
          <w:szCs w:val="32"/>
        </w:rPr>
        <w:t>月</w:t>
      </w:r>
      <w:r>
        <w:rPr>
          <w:rFonts w:hint="eastAsia" w:ascii="宋体" w:hAnsi="宋体" w:eastAsia="宋体" w:cs="宋体"/>
          <w:sz w:val="32"/>
          <w:szCs w:val="32"/>
        </w:rPr>
        <w:t>20</w:t>
      </w:r>
      <w:r>
        <w:rPr>
          <w:rFonts w:hint="default" w:ascii="仿宋_GB2312" w:eastAsia="仿宋_GB2312" w:cs="仿宋_GB2312"/>
          <w:sz w:val="32"/>
          <w:szCs w:val="32"/>
        </w:rPr>
        <w:t>日，注册资本</w:t>
      </w:r>
      <w:r>
        <w:rPr>
          <w:rFonts w:hint="eastAsia" w:ascii="宋体" w:hAnsi="宋体" w:eastAsia="宋体" w:cs="宋体"/>
          <w:sz w:val="32"/>
          <w:szCs w:val="32"/>
        </w:rPr>
        <w:t>1</w:t>
      </w:r>
      <w:r>
        <w:rPr>
          <w:rFonts w:hint="default" w:ascii="仿宋_GB2312" w:eastAsia="仿宋_GB2312" w:cs="仿宋_GB2312"/>
          <w:sz w:val="32"/>
          <w:szCs w:val="32"/>
        </w:rPr>
        <w:t>亿元，经营范围包括一般项目：国际货物运输代理；低温仓储（不含危险化学品等需许可审批的项目）；普通货物仓储服务（不含危险化学品等需许可审批的项目）等，是我县一家国有企业。</w:t>
      </w:r>
    </w:p>
    <w:p>
      <w:pPr>
        <w:pStyle w:val="6"/>
        <w:keepNext w:val="0"/>
        <w:keepLines w:val="0"/>
        <w:widowControl/>
        <w:suppressLineNumbers w:val="0"/>
        <w:spacing w:before="0" w:beforeAutospacing="0" w:after="0" w:afterAutospacing="0" w:line="315" w:lineRule="atLeast"/>
        <w:ind w:left="0" w:right="0" w:firstLine="645"/>
        <w:outlineLvl w:val="0"/>
        <w:rPr>
          <w:sz w:val="32"/>
          <w:szCs w:val="32"/>
        </w:rPr>
      </w:pPr>
      <w:bookmarkStart w:id="22" w:name="_Toc2563"/>
      <w:r>
        <w:rPr>
          <w:rFonts w:hint="eastAsia" w:ascii="黑体" w:hAnsi="宋体" w:eastAsia="黑体" w:cs="黑体"/>
          <w:sz w:val="32"/>
          <w:szCs w:val="32"/>
        </w:rPr>
        <w:t>三、合作项目概述</w:t>
      </w:r>
      <w:bookmarkEnd w:id="22"/>
    </w:p>
    <w:p>
      <w:pPr>
        <w:pStyle w:val="6"/>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平阴物流总部基地项目总投资</w:t>
      </w:r>
      <w:r>
        <w:rPr>
          <w:rFonts w:hint="eastAsia" w:ascii="宋体" w:hAnsi="宋体" w:eastAsia="宋体" w:cs="宋体"/>
          <w:sz w:val="32"/>
          <w:szCs w:val="32"/>
        </w:rPr>
        <w:t>10</w:t>
      </w:r>
      <w:r>
        <w:rPr>
          <w:rFonts w:hint="default" w:ascii="仿宋_GB2312" w:eastAsia="仿宋_GB2312" w:cs="仿宋_GB2312"/>
          <w:sz w:val="32"/>
          <w:szCs w:val="32"/>
        </w:rPr>
        <w:t>亿元人民币，其中一期投资</w:t>
      </w:r>
      <w:r>
        <w:rPr>
          <w:rFonts w:hint="eastAsia" w:ascii="宋体" w:hAnsi="宋体" w:eastAsia="宋体" w:cs="宋体"/>
          <w:sz w:val="32"/>
          <w:szCs w:val="32"/>
        </w:rPr>
        <w:t>6</w:t>
      </w:r>
      <w:r>
        <w:rPr>
          <w:rFonts w:hint="default" w:ascii="仿宋_GB2312" w:eastAsia="仿宋_GB2312" w:cs="仿宋_GB2312"/>
          <w:sz w:val="32"/>
          <w:szCs w:val="32"/>
        </w:rPr>
        <w:t>亿元，二期投资</w:t>
      </w:r>
      <w:r>
        <w:rPr>
          <w:rFonts w:hint="eastAsia" w:ascii="宋体" w:hAnsi="宋体" w:eastAsia="宋体" w:cs="宋体"/>
          <w:sz w:val="32"/>
          <w:szCs w:val="32"/>
        </w:rPr>
        <w:t>4</w:t>
      </w:r>
      <w:r>
        <w:rPr>
          <w:rFonts w:hint="default" w:ascii="仿宋_GB2312" w:eastAsia="仿宋_GB2312" w:cs="仿宋_GB2312"/>
          <w:sz w:val="32"/>
          <w:szCs w:val="32"/>
        </w:rPr>
        <w:t>亿元；一期占地面积约</w:t>
      </w:r>
      <w:r>
        <w:rPr>
          <w:rFonts w:hint="eastAsia" w:ascii="宋体" w:hAnsi="宋体" w:eastAsia="宋体" w:cs="宋体"/>
          <w:sz w:val="32"/>
          <w:szCs w:val="32"/>
        </w:rPr>
        <w:t>244.8</w:t>
      </w:r>
      <w:r>
        <w:rPr>
          <w:rFonts w:hint="default" w:ascii="仿宋_GB2312" w:eastAsia="仿宋_GB2312" w:cs="仿宋_GB2312"/>
          <w:sz w:val="32"/>
          <w:szCs w:val="32"/>
        </w:rPr>
        <w:t>亩，二期占地面积约</w:t>
      </w:r>
      <w:r>
        <w:rPr>
          <w:rFonts w:hint="eastAsia" w:ascii="宋体" w:hAnsi="宋体" w:eastAsia="宋体" w:cs="宋体"/>
          <w:sz w:val="32"/>
          <w:szCs w:val="32"/>
        </w:rPr>
        <w:t>173</w:t>
      </w:r>
      <w:r>
        <w:rPr>
          <w:rFonts w:hint="default" w:ascii="仿宋_GB2312" w:eastAsia="仿宋_GB2312" w:cs="仿宋_GB2312"/>
          <w:sz w:val="32"/>
          <w:szCs w:val="32"/>
        </w:rPr>
        <w:t>亩。一期建筑面积约</w:t>
      </w:r>
      <w:r>
        <w:rPr>
          <w:rFonts w:hint="eastAsia" w:ascii="宋体" w:hAnsi="宋体" w:eastAsia="宋体" w:cs="宋体"/>
          <w:sz w:val="32"/>
          <w:szCs w:val="32"/>
        </w:rPr>
        <w:t>71257</w:t>
      </w:r>
      <w:r>
        <w:rPr>
          <w:rFonts w:hint="default" w:ascii="仿宋_GB2312" w:eastAsia="仿宋_GB2312" w:cs="仿宋_GB2312"/>
          <w:sz w:val="32"/>
          <w:szCs w:val="32"/>
        </w:rPr>
        <w:t>平方米，项目选址在平阴县中心城南侧，北至科海有限公司、南至</w:t>
      </w:r>
      <w:r>
        <w:rPr>
          <w:rFonts w:hint="eastAsia" w:ascii="宋体" w:hAnsi="宋体" w:eastAsia="宋体" w:cs="宋体"/>
          <w:sz w:val="32"/>
          <w:szCs w:val="32"/>
        </w:rPr>
        <w:t>G105</w:t>
      </w:r>
      <w:r>
        <w:rPr>
          <w:rFonts w:hint="default" w:ascii="仿宋_GB2312" w:eastAsia="仿宋_GB2312" w:cs="仿宋_GB2312"/>
          <w:sz w:val="32"/>
          <w:szCs w:val="32"/>
        </w:rPr>
        <w:t>、东至青龙路、西至玫瑰路，交通条件优越。</w:t>
      </w:r>
    </w:p>
    <w:p>
      <w:pPr>
        <w:pStyle w:val="6"/>
        <w:keepNext w:val="0"/>
        <w:keepLines w:val="0"/>
        <w:widowControl/>
        <w:suppressLineNumbers w:val="0"/>
        <w:spacing w:before="0" w:beforeAutospacing="0" w:after="0" w:afterAutospacing="0" w:line="315" w:lineRule="atLeast"/>
        <w:ind w:left="0" w:right="0" w:firstLine="645"/>
        <w:outlineLvl w:val="1"/>
        <w:rPr>
          <w:sz w:val="32"/>
          <w:szCs w:val="32"/>
        </w:rPr>
      </w:pPr>
      <w:bookmarkStart w:id="23" w:name="_Toc26762"/>
      <w:r>
        <w:rPr>
          <w:rFonts w:ascii="楷体" w:hAnsi="楷体" w:eastAsia="楷体" w:cs="楷体"/>
          <w:sz w:val="32"/>
          <w:szCs w:val="32"/>
        </w:rPr>
        <w:t>（一）战略定位</w:t>
      </w:r>
      <w:bookmarkEnd w:id="23"/>
    </w:p>
    <w:p>
      <w:pPr>
        <w:pStyle w:val="6"/>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依托平阴优越的区位和综合交通优势，立足平阴，服务济南、泰安、聊城，对接鲁西南地区，打造区域型智慧物流配送枢纽。</w:t>
      </w:r>
    </w:p>
    <w:p>
      <w:pPr>
        <w:pStyle w:val="6"/>
        <w:keepNext w:val="0"/>
        <w:keepLines w:val="0"/>
        <w:widowControl/>
        <w:suppressLineNumbers w:val="0"/>
        <w:spacing w:before="0" w:beforeAutospacing="0" w:after="0" w:afterAutospacing="0" w:line="420" w:lineRule="atLeast"/>
        <w:ind w:left="0" w:right="0"/>
        <w:jc w:val="center"/>
        <w:rPr>
          <w:sz w:val="32"/>
          <w:szCs w:val="32"/>
        </w:rPr>
      </w:pPr>
      <w:r>
        <w:rPr>
          <w:color w:val="auto"/>
          <w:sz w:val="32"/>
          <w:szCs w:val="32"/>
          <w:u w:val="none"/>
          <w:bdr w:val="none" w:color="auto" w:sz="0" w:space="0"/>
        </w:rPr>
        <w:drawing>
          <wp:inline distT="0" distB="0" distL="114300" distR="114300">
            <wp:extent cx="3105150" cy="3771900"/>
            <wp:effectExtent l="0" t="0" r="0" b="0"/>
            <wp:docPr id="10" name="图片 2" descr="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1.jpg"/>
                    <pic:cNvPicPr>
                      <a:picLocks noChangeAspect="1"/>
                    </pic:cNvPicPr>
                  </pic:nvPicPr>
                  <pic:blipFill>
                    <a:blip r:embed="rId8"/>
                    <a:stretch>
                      <a:fillRect/>
                    </a:stretch>
                  </pic:blipFill>
                  <pic:spPr>
                    <a:xfrm>
                      <a:off x="0" y="0"/>
                      <a:ext cx="3105150" cy="3771900"/>
                    </a:xfrm>
                    <a:prstGeom prst="rect">
                      <a:avLst/>
                    </a:prstGeom>
                    <a:noFill/>
                    <a:ln w="9525">
                      <a:noFill/>
                    </a:ln>
                  </pic:spPr>
                </pic:pic>
              </a:graphicData>
            </a:graphic>
          </wp:inline>
        </w:drawing>
      </w:r>
    </w:p>
    <w:p>
      <w:pPr>
        <w:pStyle w:val="6"/>
        <w:keepNext w:val="0"/>
        <w:keepLines w:val="0"/>
        <w:widowControl/>
        <w:suppressLineNumbers w:val="0"/>
        <w:spacing w:before="0" w:beforeAutospacing="0" w:after="0" w:afterAutospacing="0" w:line="420" w:lineRule="atLeast"/>
        <w:ind w:left="0" w:right="0"/>
        <w:rPr>
          <w:sz w:val="32"/>
          <w:szCs w:val="32"/>
        </w:rPr>
      </w:pPr>
      <w:r>
        <w:rPr>
          <w:rFonts w:hint="eastAsia" w:ascii="楷体" w:hAnsi="楷体" w:eastAsia="楷体" w:cs="楷体"/>
          <w:sz w:val="32"/>
          <w:szCs w:val="32"/>
        </w:rPr>
        <w:t>    （二）发展模式</w:t>
      </w:r>
    </w:p>
    <w:p>
      <w:pPr>
        <w:pStyle w:val="6"/>
        <w:keepNext w:val="0"/>
        <w:keepLines w:val="0"/>
        <w:widowControl/>
        <w:suppressLineNumbers w:val="0"/>
        <w:spacing w:before="0" w:beforeAutospacing="0" w:after="0" w:afterAutospacing="0" w:line="420" w:lineRule="atLeast"/>
        <w:ind w:left="0" w:right="0"/>
        <w:jc w:val="center"/>
        <w:rPr>
          <w:sz w:val="32"/>
          <w:szCs w:val="32"/>
        </w:rPr>
      </w:pPr>
      <w:r>
        <w:rPr>
          <w:rFonts w:hint="eastAsia" w:ascii="楷体" w:hAnsi="楷体" w:eastAsia="楷体" w:cs="楷体"/>
          <w:color w:val="auto"/>
          <w:sz w:val="32"/>
          <w:szCs w:val="32"/>
          <w:u w:val="none"/>
          <w:bdr w:val="none" w:color="auto" w:sz="0" w:space="0"/>
        </w:rPr>
        <w:drawing>
          <wp:inline distT="0" distB="0" distL="114300" distR="114300">
            <wp:extent cx="4762500" cy="2400300"/>
            <wp:effectExtent l="0" t="0" r="0" b="0"/>
            <wp:docPr id="9" name="图片 3" descr="2.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2.jpg"/>
                    <pic:cNvPicPr>
                      <a:picLocks noChangeAspect="1"/>
                    </pic:cNvPicPr>
                  </pic:nvPicPr>
                  <pic:blipFill>
                    <a:blip r:embed="rId10"/>
                    <a:stretch>
                      <a:fillRect/>
                    </a:stretch>
                  </pic:blipFill>
                  <pic:spPr>
                    <a:xfrm>
                      <a:off x="0" y="0"/>
                      <a:ext cx="4762500" cy="2400300"/>
                    </a:xfrm>
                    <a:prstGeom prst="rect">
                      <a:avLst/>
                    </a:prstGeom>
                    <a:noFill/>
                    <a:ln w="9525">
                      <a:noFill/>
                    </a:ln>
                  </pic:spPr>
                </pic:pic>
              </a:graphicData>
            </a:graphic>
          </wp:inline>
        </w:drawing>
      </w:r>
    </w:p>
    <w:p>
      <w:pPr>
        <w:pStyle w:val="6"/>
        <w:keepNext w:val="0"/>
        <w:keepLines w:val="0"/>
        <w:widowControl/>
        <w:suppressLineNumbers w:val="0"/>
        <w:spacing w:before="0" w:beforeAutospacing="0" w:after="0" w:afterAutospacing="0" w:line="420" w:lineRule="atLeast"/>
        <w:ind w:left="0" w:right="0"/>
        <w:rPr>
          <w:sz w:val="32"/>
          <w:szCs w:val="32"/>
        </w:rPr>
      </w:pPr>
      <w:r>
        <w:rPr>
          <w:rFonts w:hint="eastAsia" w:ascii="楷体" w:hAnsi="楷体" w:eastAsia="楷体" w:cs="楷体"/>
          <w:sz w:val="32"/>
          <w:szCs w:val="32"/>
        </w:rPr>
        <w:t>    （三）功能定位</w:t>
      </w:r>
    </w:p>
    <w:p>
      <w:pPr>
        <w:pStyle w:val="6"/>
        <w:keepNext w:val="0"/>
        <w:keepLines w:val="0"/>
        <w:widowControl/>
        <w:suppressLineNumbers w:val="0"/>
        <w:spacing w:before="0" w:beforeAutospacing="0" w:after="0" w:afterAutospacing="0" w:line="420" w:lineRule="atLeast"/>
        <w:ind w:left="0" w:right="0"/>
        <w:jc w:val="center"/>
        <w:rPr>
          <w:sz w:val="32"/>
          <w:szCs w:val="32"/>
        </w:rPr>
      </w:pPr>
      <w:r>
        <w:rPr>
          <w:rFonts w:hint="eastAsia" w:ascii="楷体" w:hAnsi="楷体" w:eastAsia="楷体" w:cs="楷体"/>
          <w:color w:val="auto"/>
          <w:sz w:val="32"/>
          <w:szCs w:val="32"/>
          <w:u w:val="none"/>
          <w:bdr w:val="none" w:color="auto" w:sz="0" w:space="0"/>
        </w:rPr>
        <w:drawing>
          <wp:inline distT="0" distB="0" distL="114300" distR="114300">
            <wp:extent cx="4762500" cy="2343150"/>
            <wp:effectExtent l="0" t="0" r="0" b="0"/>
            <wp:docPr id="11" name="图片 4" descr="3.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3.png"/>
                    <pic:cNvPicPr>
                      <a:picLocks noChangeAspect="1"/>
                    </pic:cNvPicPr>
                  </pic:nvPicPr>
                  <pic:blipFill>
                    <a:blip r:embed="rId12"/>
                    <a:stretch>
                      <a:fillRect/>
                    </a:stretch>
                  </pic:blipFill>
                  <pic:spPr>
                    <a:xfrm>
                      <a:off x="0" y="0"/>
                      <a:ext cx="4762500" cy="2343150"/>
                    </a:xfrm>
                    <a:prstGeom prst="rect">
                      <a:avLst/>
                    </a:prstGeom>
                    <a:noFill/>
                    <a:ln w="9525">
                      <a:noFill/>
                    </a:ln>
                  </pic:spPr>
                </pic:pic>
              </a:graphicData>
            </a:graphic>
          </wp:inline>
        </w:drawing>
      </w:r>
    </w:p>
    <w:p>
      <w:pPr>
        <w:pStyle w:val="6"/>
        <w:keepNext w:val="0"/>
        <w:keepLines w:val="0"/>
        <w:widowControl/>
        <w:suppressLineNumbers w:val="0"/>
        <w:spacing w:before="0" w:beforeAutospacing="0" w:after="0" w:afterAutospacing="0" w:line="420" w:lineRule="atLeast"/>
        <w:ind w:left="0" w:right="0"/>
        <w:jc w:val="center"/>
        <w:rPr>
          <w:sz w:val="32"/>
          <w:szCs w:val="32"/>
        </w:rPr>
      </w:pPr>
      <w:r>
        <w:rPr>
          <w:rFonts w:hint="eastAsia" w:ascii="楷体" w:hAnsi="楷体" w:eastAsia="楷体" w:cs="楷体"/>
          <w:color w:val="auto"/>
          <w:sz w:val="32"/>
          <w:szCs w:val="32"/>
          <w:u w:val="none"/>
          <w:bdr w:val="none" w:color="auto" w:sz="0" w:space="0"/>
        </w:rPr>
        <w:drawing>
          <wp:inline distT="0" distB="0" distL="114300" distR="114300">
            <wp:extent cx="3952875" cy="1571625"/>
            <wp:effectExtent l="0" t="0" r="9525" b="9525"/>
            <wp:docPr id="14" name="图片 5" descr="4.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4.jpg"/>
                    <pic:cNvPicPr>
                      <a:picLocks noChangeAspect="1"/>
                    </pic:cNvPicPr>
                  </pic:nvPicPr>
                  <pic:blipFill>
                    <a:blip r:embed="rId14"/>
                    <a:stretch>
                      <a:fillRect/>
                    </a:stretch>
                  </pic:blipFill>
                  <pic:spPr>
                    <a:xfrm>
                      <a:off x="0" y="0"/>
                      <a:ext cx="3952875" cy="1571625"/>
                    </a:xfrm>
                    <a:prstGeom prst="rect">
                      <a:avLst/>
                    </a:prstGeom>
                    <a:noFill/>
                    <a:ln w="9525">
                      <a:noFill/>
                    </a:ln>
                  </pic:spPr>
                </pic:pic>
              </a:graphicData>
            </a:graphic>
          </wp:inline>
        </w:drawing>
      </w:r>
    </w:p>
    <w:p>
      <w:pPr>
        <w:pStyle w:val="6"/>
        <w:keepNext w:val="0"/>
        <w:keepLines w:val="0"/>
        <w:widowControl/>
        <w:suppressLineNumbers w:val="0"/>
        <w:spacing w:before="0" w:beforeAutospacing="0" w:after="0" w:afterAutospacing="0" w:line="420" w:lineRule="atLeast"/>
        <w:ind w:left="0" w:right="0"/>
        <w:jc w:val="center"/>
        <w:rPr>
          <w:sz w:val="32"/>
          <w:szCs w:val="32"/>
        </w:rPr>
      </w:pPr>
      <w:r>
        <w:rPr>
          <w:rFonts w:hint="eastAsia" w:ascii="楷体" w:hAnsi="楷体" w:eastAsia="楷体" w:cs="楷体"/>
          <w:color w:val="auto"/>
          <w:sz w:val="32"/>
          <w:szCs w:val="32"/>
          <w:u w:val="none"/>
          <w:bdr w:val="none" w:color="auto" w:sz="0" w:space="0"/>
        </w:rPr>
        <w:drawing>
          <wp:inline distT="0" distB="0" distL="114300" distR="114300">
            <wp:extent cx="4762500" cy="3448050"/>
            <wp:effectExtent l="0" t="0" r="0" b="0"/>
            <wp:docPr id="17" name="图片 6" descr="5.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5.jpg"/>
                    <pic:cNvPicPr>
                      <a:picLocks noChangeAspect="1"/>
                    </pic:cNvPicPr>
                  </pic:nvPicPr>
                  <pic:blipFill>
                    <a:blip r:embed="rId16"/>
                    <a:stretch>
                      <a:fillRect/>
                    </a:stretch>
                  </pic:blipFill>
                  <pic:spPr>
                    <a:xfrm>
                      <a:off x="0" y="0"/>
                      <a:ext cx="4762500" cy="3448050"/>
                    </a:xfrm>
                    <a:prstGeom prst="rect">
                      <a:avLst/>
                    </a:prstGeom>
                    <a:noFill/>
                    <a:ln w="9525">
                      <a:noFill/>
                    </a:ln>
                  </pic:spPr>
                </pic:pic>
              </a:graphicData>
            </a:graphic>
          </wp:inline>
        </w:drawing>
      </w:r>
    </w:p>
    <w:p>
      <w:pPr>
        <w:pStyle w:val="6"/>
        <w:keepNext w:val="0"/>
        <w:keepLines w:val="0"/>
        <w:widowControl/>
        <w:suppressLineNumbers w:val="0"/>
        <w:spacing w:before="0" w:beforeAutospacing="0" w:after="0" w:afterAutospacing="0" w:line="420" w:lineRule="atLeast"/>
        <w:ind w:left="0" w:right="0"/>
        <w:jc w:val="center"/>
        <w:outlineLvl w:val="1"/>
        <w:rPr>
          <w:sz w:val="32"/>
          <w:szCs w:val="32"/>
        </w:rPr>
      </w:pPr>
      <w:bookmarkStart w:id="24" w:name="_Toc20543"/>
      <w:r>
        <w:rPr>
          <w:rFonts w:hint="eastAsia" w:ascii="楷体" w:hAnsi="楷体" w:eastAsia="楷体" w:cs="楷体"/>
          <w:sz w:val="32"/>
          <w:szCs w:val="32"/>
        </w:rPr>
        <w:t>基地功能区划分</w:t>
      </w:r>
      <w:bookmarkEnd w:id="24"/>
    </w:p>
    <w:p>
      <w:pPr>
        <w:pStyle w:val="6"/>
        <w:keepNext w:val="0"/>
        <w:keepLines w:val="0"/>
        <w:widowControl/>
        <w:suppressLineNumbers w:val="0"/>
        <w:spacing w:before="0" w:beforeAutospacing="0" w:after="0" w:afterAutospacing="0" w:line="420" w:lineRule="atLeast"/>
        <w:ind w:left="0" w:right="0"/>
        <w:jc w:val="both"/>
        <w:rPr>
          <w:sz w:val="32"/>
          <w:szCs w:val="32"/>
        </w:rPr>
      </w:pPr>
      <w:r>
        <w:rPr>
          <w:rStyle w:val="9"/>
          <w:rFonts w:hint="default" w:ascii="仿宋_GB2312" w:eastAsia="仿宋_GB2312" w:cs="仿宋_GB2312"/>
          <w:sz w:val="32"/>
          <w:szCs w:val="32"/>
        </w:rPr>
        <w:t>    空间结构：</w:t>
      </w:r>
    </w:p>
    <w:p>
      <w:pPr>
        <w:pStyle w:val="6"/>
        <w:keepNext w:val="0"/>
        <w:keepLines w:val="0"/>
        <w:widowControl/>
        <w:suppressLineNumbers w:val="0"/>
        <w:spacing w:before="0" w:beforeAutospacing="0" w:after="0" w:afterAutospacing="0" w:line="315" w:lineRule="atLeast"/>
        <w:ind w:left="0" w:right="0" w:firstLine="645"/>
        <w:jc w:val="left"/>
        <w:rPr>
          <w:sz w:val="32"/>
          <w:szCs w:val="32"/>
        </w:rPr>
      </w:pPr>
      <w:r>
        <w:rPr>
          <w:rFonts w:hint="default" w:ascii="仿宋_GB2312" w:eastAsia="仿宋_GB2312" w:cs="仿宋_GB2312"/>
          <w:sz w:val="32"/>
          <w:szCs w:val="32"/>
        </w:rPr>
        <w:t>一轴两版块五功能区</w:t>
      </w:r>
    </w:p>
    <w:p>
      <w:pPr>
        <w:pStyle w:val="6"/>
        <w:keepNext w:val="0"/>
        <w:keepLines w:val="0"/>
        <w:widowControl/>
        <w:suppressLineNumbers w:val="0"/>
        <w:spacing w:before="0" w:beforeAutospacing="0" w:after="0" w:afterAutospacing="0" w:line="420" w:lineRule="atLeast"/>
        <w:ind w:left="0" w:right="0"/>
        <w:jc w:val="center"/>
        <w:rPr>
          <w:sz w:val="32"/>
          <w:szCs w:val="32"/>
        </w:rPr>
      </w:pPr>
      <w:r>
        <w:rPr>
          <w:rFonts w:hint="eastAsia" w:ascii="楷体" w:hAnsi="楷体" w:eastAsia="楷体" w:cs="楷体"/>
          <w:color w:val="auto"/>
          <w:sz w:val="32"/>
          <w:szCs w:val="32"/>
          <w:u w:val="none"/>
          <w:bdr w:val="none" w:color="auto" w:sz="0" w:space="0"/>
        </w:rPr>
        <w:drawing>
          <wp:inline distT="0" distB="0" distL="114300" distR="114300">
            <wp:extent cx="4762500" cy="2009775"/>
            <wp:effectExtent l="0" t="0" r="0" b="9525"/>
            <wp:docPr id="18" name="图片 7" descr="1.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1.jpg"/>
                    <pic:cNvPicPr>
                      <a:picLocks noChangeAspect="1"/>
                    </pic:cNvPicPr>
                  </pic:nvPicPr>
                  <pic:blipFill>
                    <a:blip r:embed="rId18"/>
                    <a:stretch>
                      <a:fillRect/>
                    </a:stretch>
                  </pic:blipFill>
                  <pic:spPr>
                    <a:xfrm>
                      <a:off x="0" y="0"/>
                      <a:ext cx="4762500" cy="2009775"/>
                    </a:xfrm>
                    <a:prstGeom prst="rect">
                      <a:avLst/>
                    </a:prstGeom>
                    <a:noFill/>
                    <a:ln w="9525">
                      <a:noFill/>
                    </a:ln>
                  </pic:spPr>
                </pic:pic>
              </a:graphicData>
            </a:graphic>
          </wp:inline>
        </w:drawing>
      </w:r>
    </w:p>
    <w:p>
      <w:pPr>
        <w:pStyle w:val="6"/>
        <w:keepNext w:val="0"/>
        <w:keepLines w:val="0"/>
        <w:widowControl/>
        <w:suppressLineNumbers w:val="0"/>
        <w:spacing w:before="0" w:beforeAutospacing="0" w:after="0" w:afterAutospacing="0" w:line="420" w:lineRule="atLeast"/>
        <w:ind w:left="0" w:right="0"/>
        <w:rPr>
          <w:sz w:val="32"/>
          <w:szCs w:val="32"/>
        </w:rPr>
      </w:pPr>
    </w:p>
    <w:p>
      <w:pPr>
        <w:pStyle w:val="6"/>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分销配送区、电商物流区的布局遵循产业关联、集聚分离、适度弹性的原则，两个功能区业务模式相似，物流设施也具有较高通用性，可根据招商进度灵活调节土地使用。功能区位置选择也靠近城市主干道，便于开展城乡配送业务。</w:t>
      </w:r>
    </w:p>
    <w:p>
      <w:pPr>
        <w:pStyle w:val="6"/>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智慧集配区、分销配送区的布局遵循产业关联、集聚分离的原则。智慧集配区主要承担区域性分拨配送功能，紧邻城市对外主通道；分销配送区主要承担城市分拨配送功能，靠近城市内部主干道，相邻布置可以构建高效的干支配一体化体系。</w:t>
      </w:r>
    </w:p>
    <w:p>
      <w:pPr>
        <w:pStyle w:val="6"/>
        <w:keepNext w:val="0"/>
        <w:keepLines w:val="0"/>
        <w:widowControl/>
        <w:suppressLineNumbers w:val="0"/>
        <w:spacing w:before="0" w:beforeAutospacing="0" w:after="0" w:afterAutospacing="0" w:line="315" w:lineRule="atLeast"/>
        <w:ind w:left="0" w:right="0" w:firstLine="645"/>
        <w:rPr>
          <w:sz w:val="32"/>
          <w:szCs w:val="32"/>
        </w:rPr>
      </w:pPr>
      <w:r>
        <w:rPr>
          <w:rFonts w:hint="default" w:ascii="仿宋_GB2312" w:eastAsia="仿宋_GB2312" w:cs="仿宋_GB2312"/>
          <w:sz w:val="32"/>
          <w:szCs w:val="32"/>
        </w:rPr>
        <w:t>电商物流区与冷链物流区的布局遵循归并整合、适度弹性、循序渐进、优先布局等原则，该功能区是未来增值物流功能的承载区域，对物流设施和功能要求较高。相对其他功能区独立布局，该区可为创新物流功能探索和拓展预留充足的发展空间。</w:t>
      </w:r>
    </w:p>
    <w:p>
      <w:pPr>
        <w:pStyle w:val="2"/>
        <w:keepNext w:val="0"/>
        <w:keepLines w:val="0"/>
        <w:widowControl/>
        <w:suppressLineNumbers w:val="0"/>
        <w:spacing w:before="120" w:beforeAutospacing="0" w:after="0" w:afterAutospacing="0" w:line="540" w:lineRule="atLeast"/>
        <w:ind w:left="0" w:right="0"/>
        <w:jc w:val="left"/>
        <w:rPr>
          <w:rFonts w:hint="default" w:ascii="Times New Roman" w:hAnsi="Times New Roman" w:cs="Times New Roman"/>
          <w:sz w:val="32"/>
          <w:szCs w:val="32"/>
        </w:rPr>
      </w:pPr>
      <w:bookmarkStart w:id="25" w:name="_Toc16175"/>
      <w:r>
        <w:rPr>
          <w:rFonts w:hint="eastAsia" w:ascii="宋体" w:hAnsi="宋体" w:eastAsia="宋体" w:cs="宋体"/>
          <w:b w:val="0"/>
          <w:bCs w:val="0"/>
          <w:sz w:val="32"/>
          <w:szCs w:val="32"/>
        </w:rPr>
        <w:t>   </w:t>
      </w:r>
      <w:r>
        <w:rPr>
          <w:rFonts w:ascii="仿宋" w:hAnsi="仿宋" w:eastAsia="仿宋" w:cs="仿宋"/>
          <w:b w:val="0"/>
          <w:bCs w:val="0"/>
          <w:sz w:val="32"/>
          <w:szCs w:val="32"/>
        </w:rPr>
        <w:t>1.1功能区说明</w:t>
      </w:r>
      <w:bookmarkEnd w:id="25"/>
    </w:p>
    <w:p>
      <w:pPr>
        <w:pStyle w:val="6"/>
        <w:keepNext w:val="0"/>
        <w:keepLines w:val="0"/>
        <w:widowControl/>
        <w:suppressLineNumbers w:val="0"/>
        <w:spacing w:before="0" w:beforeAutospacing="0" w:after="0" w:afterAutospacing="0" w:line="420" w:lineRule="atLeast"/>
        <w:ind w:left="0" w:right="0"/>
        <w:rPr>
          <w:sz w:val="32"/>
          <w:szCs w:val="32"/>
        </w:rPr>
      </w:pPr>
      <w:r>
        <w:rPr>
          <w:rFonts w:hint="eastAsia" w:ascii="仿宋" w:hAnsi="仿宋" w:eastAsia="仿宋" w:cs="仿宋"/>
          <w:b w:val="0"/>
          <w:bCs w:val="0"/>
          <w:sz w:val="32"/>
          <w:szCs w:val="32"/>
        </w:rPr>
        <w:t>      1.1.1</w:t>
      </w:r>
      <w:r>
        <w:rPr>
          <w:rStyle w:val="9"/>
          <w:rFonts w:hint="default" w:ascii="仿宋_GB2312" w:hAnsi="仿宋" w:eastAsia="仿宋_GB2312" w:cs="仿宋_GB2312"/>
          <w:b w:val="0"/>
          <w:bCs w:val="0"/>
          <w:sz w:val="32"/>
          <w:szCs w:val="32"/>
        </w:rPr>
        <w:t>智慧集配区</w:t>
      </w:r>
    </w:p>
    <w:p>
      <w:pPr>
        <w:pStyle w:val="6"/>
        <w:keepNext w:val="0"/>
        <w:keepLines w:val="0"/>
        <w:widowControl/>
        <w:suppressLineNumbers w:val="0"/>
        <w:spacing w:before="0" w:beforeAutospacing="0" w:after="0" w:afterAutospacing="0" w:line="420" w:lineRule="atLeast"/>
        <w:ind w:left="0" w:right="0"/>
        <w:jc w:val="center"/>
        <w:rPr>
          <w:sz w:val="32"/>
          <w:szCs w:val="32"/>
        </w:rPr>
      </w:pPr>
      <w:r>
        <w:rPr>
          <w:rFonts w:hint="eastAsia" w:ascii="楷体" w:hAnsi="楷体" w:eastAsia="楷体" w:cs="楷体"/>
          <w:color w:val="auto"/>
          <w:sz w:val="32"/>
          <w:szCs w:val="32"/>
          <w:u w:val="none"/>
          <w:bdr w:val="none" w:color="auto" w:sz="0" w:space="0"/>
        </w:rPr>
        <w:drawing>
          <wp:inline distT="0" distB="0" distL="114300" distR="114300">
            <wp:extent cx="4762500" cy="3438525"/>
            <wp:effectExtent l="0" t="0" r="0" b="9525"/>
            <wp:docPr id="25" name="图片 8" descr="1.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descr="1.jpg"/>
                    <pic:cNvPicPr>
                      <a:picLocks noChangeAspect="1"/>
                    </pic:cNvPicPr>
                  </pic:nvPicPr>
                  <pic:blipFill>
                    <a:blip r:embed="rId20"/>
                    <a:stretch>
                      <a:fillRect/>
                    </a:stretch>
                  </pic:blipFill>
                  <pic:spPr>
                    <a:xfrm>
                      <a:off x="0" y="0"/>
                      <a:ext cx="4762500" cy="3438525"/>
                    </a:xfrm>
                    <a:prstGeom prst="rect">
                      <a:avLst/>
                    </a:prstGeom>
                    <a:noFill/>
                    <a:ln w="9525">
                      <a:noFill/>
                    </a:ln>
                  </pic:spPr>
                </pic:pic>
              </a:graphicData>
            </a:graphic>
          </wp:inline>
        </w:drawing>
      </w:r>
    </w:p>
    <w:p>
      <w:pPr>
        <w:pStyle w:val="6"/>
        <w:keepNext w:val="0"/>
        <w:keepLines w:val="0"/>
        <w:widowControl/>
        <w:suppressLineNumbers w:val="0"/>
        <w:spacing w:before="90" w:beforeAutospacing="0" w:after="0" w:afterAutospacing="0" w:line="360" w:lineRule="atLeast"/>
        <w:ind w:left="0" w:right="135" w:firstLine="615"/>
        <w:jc w:val="both"/>
        <w:rPr>
          <w:sz w:val="32"/>
          <w:szCs w:val="32"/>
        </w:rPr>
      </w:pPr>
      <w:r>
        <w:rPr>
          <w:rFonts w:hint="default" w:ascii="仿宋_GB2312" w:eastAsia="仿宋_GB2312" w:cs="仿宋_GB2312"/>
          <w:spacing w:val="0"/>
          <w:sz w:val="32"/>
          <w:szCs w:val="32"/>
        </w:rPr>
        <w:t>发挥区位交通优势，为进出园区到达的各类货物提供信息发布、在线交易、专业化仓储、</w:t>
      </w:r>
      <w:r>
        <w:rPr>
          <w:rFonts w:hint="default" w:ascii="仿宋_GB2312" w:eastAsia="仿宋_GB2312" w:cs="仿宋_GB2312"/>
          <w:sz w:val="32"/>
          <w:szCs w:val="32"/>
        </w:rPr>
        <w:t>零担专线运输、货运配载等服务。</w:t>
      </w:r>
    </w:p>
    <w:p>
      <w:pPr>
        <w:pStyle w:val="6"/>
        <w:keepNext w:val="0"/>
        <w:keepLines w:val="0"/>
        <w:widowControl/>
        <w:suppressLineNumbers w:val="0"/>
        <w:spacing w:before="0" w:beforeAutospacing="0" w:after="0" w:afterAutospacing="0" w:line="360" w:lineRule="atLeast"/>
        <w:ind w:left="0" w:right="255" w:firstLine="645"/>
        <w:rPr>
          <w:sz w:val="32"/>
          <w:szCs w:val="32"/>
        </w:rPr>
      </w:pPr>
      <w:r>
        <w:rPr>
          <w:rFonts w:hint="default" w:ascii="仿宋_GB2312" w:eastAsia="仿宋_GB2312" w:cs="仿宋_GB2312"/>
          <w:sz w:val="32"/>
          <w:szCs w:val="32"/>
        </w:rPr>
        <w:t>——建立智能集配物流中心：培育和引入高能级枢纽运营主体，把网络货运平台与零担运输结合。</w:t>
      </w:r>
    </w:p>
    <w:p>
      <w:pPr>
        <w:pStyle w:val="6"/>
        <w:keepNext w:val="0"/>
        <w:keepLines w:val="0"/>
        <w:widowControl/>
        <w:suppressLineNumbers w:val="0"/>
        <w:spacing w:before="0" w:beforeAutospacing="0" w:after="0" w:afterAutospacing="0" w:line="420" w:lineRule="atLeast"/>
        <w:ind w:left="0" w:right="0"/>
        <w:rPr>
          <w:sz w:val="32"/>
          <w:szCs w:val="32"/>
        </w:rPr>
      </w:pPr>
      <w:r>
        <w:rPr>
          <w:rStyle w:val="9"/>
          <w:rFonts w:hint="default" w:ascii="仿宋_GB2312" w:eastAsia="仿宋_GB2312" w:cs="仿宋_GB2312"/>
          <w:spacing w:val="0"/>
          <w:sz w:val="32"/>
          <w:szCs w:val="32"/>
        </w:rPr>
        <w:t>——打造全县智慧物流公共信息平台</w:t>
      </w:r>
      <w:r>
        <w:rPr>
          <w:rStyle w:val="9"/>
          <w:rFonts w:hint="default" w:ascii="仿宋_GB2312" w:eastAsia="仿宋_GB2312" w:cs="仿宋_GB2312"/>
          <w:sz w:val="32"/>
          <w:szCs w:val="32"/>
        </w:rPr>
        <w:t>（</w:t>
      </w:r>
      <w:r>
        <w:rPr>
          <w:rStyle w:val="9"/>
          <w:rFonts w:hint="eastAsia" w:ascii="宋体" w:hAnsi="宋体" w:eastAsia="宋体" w:cs="宋体"/>
          <w:sz w:val="32"/>
          <w:szCs w:val="32"/>
        </w:rPr>
        <w:t>APP</w:t>
      </w:r>
      <w:r>
        <w:rPr>
          <w:rStyle w:val="9"/>
          <w:rFonts w:hint="default" w:ascii="仿宋_GB2312" w:eastAsia="仿宋_GB2312" w:cs="仿宋_GB2312"/>
          <w:spacing w:val="0"/>
          <w:sz w:val="32"/>
          <w:szCs w:val="32"/>
        </w:rPr>
        <w:t>、线上线下</w:t>
      </w:r>
      <w:r>
        <w:rPr>
          <w:rStyle w:val="9"/>
          <w:rFonts w:hint="default" w:ascii="仿宋_GB2312" w:eastAsia="仿宋_GB2312" w:cs="仿宋_GB2312"/>
          <w:spacing w:val="-15"/>
          <w:sz w:val="32"/>
          <w:szCs w:val="32"/>
        </w:rPr>
        <w:t>）：</w:t>
      </w:r>
      <w:r>
        <w:rPr>
          <w:rStyle w:val="9"/>
          <w:rFonts w:hint="default" w:ascii="仿宋_GB2312" w:eastAsia="仿宋_GB2312" w:cs="仿宋_GB2312"/>
          <w:spacing w:val="0"/>
          <w:sz w:val="32"/>
          <w:szCs w:val="32"/>
        </w:rPr>
        <w:t>实现智慧化园区管理、物流枢</w:t>
      </w:r>
      <w:r>
        <w:rPr>
          <w:rStyle w:val="9"/>
          <w:rFonts w:hint="default" w:ascii="仿宋_GB2312" w:eastAsia="仿宋_GB2312" w:cs="仿宋_GB2312"/>
          <w:sz w:val="32"/>
          <w:szCs w:val="32"/>
        </w:rPr>
        <w:t>纽干支配一体化运作、智能车辆调度、物流大数据等服务。</w:t>
      </w:r>
    </w:p>
    <w:p>
      <w:pPr>
        <w:pStyle w:val="6"/>
        <w:keepNext w:val="0"/>
        <w:keepLines w:val="0"/>
        <w:widowControl/>
        <w:suppressLineNumbers w:val="0"/>
        <w:spacing w:before="0" w:beforeAutospacing="0" w:after="0" w:afterAutospacing="0" w:line="420" w:lineRule="atLeast"/>
        <w:ind w:left="0" w:right="0"/>
        <w:jc w:val="center"/>
        <w:rPr>
          <w:sz w:val="32"/>
          <w:szCs w:val="32"/>
        </w:rPr>
      </w:pPr>
      <w:r>
        <w:rPr>
          <w:color w:val="auto"/>
          <w:sz w:val="32"/>
          <w:szCs w:val="32"/>
          <w:u w:val="none"/>
          <w:bdr w:val="none" w:color="auto" w:sz="0" w:space="0"/>
        </w:rPr>
        <w:drawing>
          <wp:inline distT="0" distB="0" distL="114300" distR="114300">
            <wp:extent cx="4762500" cy="2200275"/>
            <wp:effectExtent l="0" t="0" r="0" b="9525"/>
            <wp:docPr id="19" name="图片 9" descr="1.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descr="1.jpg"/>
                    <pic:cNvPicPr>
                      <a:picLocks noChangeAspect="1"/>
                    </pic:cNvPicPr>
                  </pic:nvPicPr>
                  <pic:blipFill>
                    <a:blip r:embed="rId22"/>
                    <a:stretch>
                      <a:fillRect/>
                    </a:stretch>
                  </pic:blipFill>
                  <pic:spPr>
                    <a:xfrm>
                      <a:off x="0" y="0"/>
                      <a:ext cx="4762500" cy="2200275"/>
                    </a:xfrm>
                    <a:prstGeom prst="rect">
                      <a:avLst/>
                    </a:prstGeom>
                    <a:noFill/>
                    <a:ln w="9525">
                      <a:noFill/>
                    </a:ln>
                  </pic:spPr>
                </pic:pic>
              </a:graphicData>
            </a:graphic>
          </wp:inline>
        </w:drawing>
      </w:r>
    </w:p>
    <w:p>
      <w:pPr>
        <w:pStyle w:val="6"/>
        <w:keepNext w:val="0"/>
        <w:keepLines w:val="0"/>
        <w:widowControl/>
        <w:suppressLineNumbers w:val="0"/>
        <w:spacing w:before="0" w:beforeAutospacing="0" w:after="0" w:afterAutospacing="0" w:line="360" w:lineRule="atLeast"/>
        <w:ind w:left="0" w:right="0" w:firstLine="645"/>
        <w:jc w:val="left"/>
        <w:rPr>
          <w:sz w:val="32"/>
          <w:szCs w:val="32"/>
        </w:rPr>
      </w:pPr>
      <w:r>
        <w:rPr>
          <w:rFonts w:hint="default" w:ascii="仿宋_GB2312" w:eastAsia="仿宋_GB2312" w:cs="仿宋_GB2312"/>
          <w:b w:val="0"/>
          <w:bCs w:val="0"/>
          <w:sz w:val="32"/>
          <w:szCs w:val="32"/>
        </w:rPr>
        <w:t>智能集配物流中心：</w:t>
      </w:r>
    </w:p>
    <w:p>
      <w:pPr>
        <w:pStyle w:val="6"/>
        <w:keepNext w:val="0"/>
        <w:keepLines w:val="0"/>
        <w:widowControl/>
        <w:suppressLineNumbers w:val="0"/>
        <w:spacing w:before="90" w:beforeAutospacing="0" w:after="0" w:afterAutospacing="0" w:line="360" w:lineRule="atLeast"/>
        <w:ind w:left="0" w:right="135" w:firstLine="645"/>
        <w:jc w:val="left"/>
        <w:rPr>
          <w:sz w:val="32"/>
          <w:szCs w:val="32"/>
        </w:rPr>
      </w:pPr>
      <w:r>
        <w:rPr>
          <w:rFonts w:hint="default" w:ascii="仿宋_GB2312" w:eastAsia="仿宋_GB2312" w:cs="仿宋_GB2312"/>
          <w:b w:val="0"/>
          <w:bCs w:val="0"/>
          <w:sz w:val="32"/>
          <w:szCs w:val="32"/>
        </w:rPr>
        <w:t>依托</w:t>
      </w:r>
      <w:r>
        <w:rPr>
          <w:rFonts w:hint="eastAsia" w:ascii="宋体" w:hAnsi="宋体" w:eastAsia="宋体" w:cs="宋体"/>
          <w:b w:val="0"/>
          <w:bCs w:val="0"/>
          <w:sz w:val="32"/>
          <w:szCs w:val="32"/>
        </w:rPr>
        <w:t>G105</w:t>
      </w:r>
      <w:r>
        <w:rPr>
          <w:rFonts w:hint="default" w:ascii="仿宋_GB2312" w:eastAsia="仿宋_GB2312" w:cs="仿宋_GB2312"/>
          <w:b w:val="0"/>
          <w:bCs w:val="0"/>
          <w:sz w:val="32"/>
          <w:szCs w:val="32"/>
        </w:rPr>
        <w:t>及城市主干道组成的便捷的公路网络优势，充分集聚和整合区域零担专线、货</w:t>
      </w:r>
      <w:r>
        <w:rPr>
          <w:rFonts w:hint="default" w:ascii="仿宋_GB2312" w:eastAsia="仿宋_GB2312" w:cs="仿宋_GB2312"/>
          <w:b w:val="0"/>
          <w:bCs w:val="0"/>
          <w:spacing w:val="-15"/>
          <w:sz w:val="32"/>
          <w:szCs w:val="32"/>
        </w:rPr>
        <w:t>代等资源，面向周边产业，重点打造公路干线集配货、零担快运、仓储、联托运、信息服务、</w:t>
      </w:r>
      <w:r>
        <w:rPr>
          <w:rFonts w:hint="default" w:ascii="仿宋_GB2312" w:eastAsia="仿宋_GB2312" w:cs="仿宋_GB2312"/>
          <w:b w:val="0"/>
          <w:bCs w:val="0"/>
          <w:spacing w:val="0"/>
          <w:sz w:val="32"/>
          <w:szCs w:val="32"/>
        </w:rPr>
        <w:t>智能调度等功能，实现干支配高效衔接。利用“线下园区</w:t>
      </w:r>
      <w:r>
        <w:rPr>
          <w:rFonts w:hint="eastAsia" w:ascii="宋体" w:hAnsi="宋体" w:eastAsia="宋体" w:cs="宋体"/>
          <w:b w:val="0"/>
          <w:bCs w:val="0"/>
          <w:sz w:val="32"/>
          <w:szCs w:val="32"/>
        </w:rPr>
        <w:t>+</w:t>
      </w:r>
      <w:r>
        <w:rPr>
          <w:rFonts w:hint="default" w:ascii="仿宋_GB2312" w:eastAsia="仿宋_GB2312" w:cs="仿宋_GB2312"/>
          <w:b w:val="0"/>
          <w:bCs w:val="0"/>
          <w:spacing w:val="0"/>
          <w:sz w:val="32"/>
          <w:szCs w:val="32"/>
        </w:rPr>
        <w:t>线上平台”的方式，融入区域公路港网络，形成集聚能力强、辐射范围广、功能健全、智能化程度高的智能集配物流中心。</w:t>
      </w:r>
    </w:p>
    <w:p>
      <w:pPr>
        <w:pStyle w:val="6"/>
        <w:keepNext w:val="0"/>
        <w:keepLines w:val="0"/>
        <w:widowControl/>
        <w:suppressLineNumbers w:val="0"/>
        <w:spacing w:before="0" w:beforeAutospacing="0" w:after="0" w:afterAutospacing="0" w:line="420" w:lineRule="atLeast"/>
        <w:ind w:left="0" w:right="0"/>
        <w:jc w:val="center"/>
        <w:rPr>
          <w:sz w:val="32"/>
          <w:szCs w:val="32"/>
        </w:rPr>
      </w:pPr>
      <w:r>
        <w:rPr>
          <w:color w:val="auto"/>
          <w:sz w:val="32"/>
          <w:szCs w:val="32"/>
          <w:u w:val="none"/>
          <w:bdr w:val="none" w:color="auto" w:sz="0" w:space="0"/>
        </w:rPr>
        <w:drawing>
          <wp:inline distT="0" distB="0" distL="114300" distR="114300">
            <wp:extent cx="4762500" cy="3448050"/>
            <wp:effectExtent l="0" t="0" r="0" b="0"/>
            <wp:docPr id="12" name="图片 10" descr="1.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1.jpg"/>
                    <pic:cNvPicPr>
                      <a:picLocks noChangeAspect="1"/>
                    </pic:cNvPicPr>
                  </pic:nvPicPr>
                  <pic:blipFill>
                    <a:blip r:embed="rId24"/>
                    <a:stretch>
                      <a:fillRect/>
                    </a:stretch>
                  </pic:blipFill>
                  <pic:spPr>
                    <a:xfrm>
                      <a:off x="0" y="0"/>
                      <a:ext cx="4762500" cy="3448050"/>
                    </a:xfrm>
                    <a:prstGeom prst="rect">
                      <a:avLst/>
                    </a:prstGeom>
                    <a:noFill/>
                    <a:ln w="9525">
                      <a:noFill/>
                    </a:ln>
                  </pic:spPr>
                </pic:pic>
              </a:graphicData>
            </a:graphic>
          </wp:inline>
        </w:drawing>
      </w:r>
    </w:p>
    <w:p>
      <w:pPr>
        <w:pStyle w:val="6"/>
        <w:keepNext w:val="0"/>
        <w:keepLines w:val="0"/>
        <w:widowControl/>
        <w:suppressLineNumbers w:val="0"/>
        <w:spacing w:before="0" w:beforeAutospacing="0" w:after="0" w:afterAutospacing="0" w:line="420" w:lineRule="atLeast"/>
        <w:ind w:left="0" w:right="0"/>
        <w:rPr>
          <w:sz w:val="32"/>
          <w:szCs w:val="32"/>
        </w:rPr>
      </w:pPr>
      <w:r>
        <w:rPr>
          <w:sz w:val="32"/>
          <w:szCs w:val="32"/>
        </w:rPr>
        <w:t>         </w:t>
      </w:r>
      <w:r>
        <w:rPr>
          <w:rStyle w:val="9"/>
          <w:rFonts w:hint="default" w:ascii="仿宋_GB2312" w:eastAsia="仿宋_GB2312" w:cs="仿宋_GB2312"/>
          <w:sz w:val="32"/>
          <w:szCs w:val="32"/>
        </w:rPr>
        <w:t>智慧物流公共信息平台：</w:t>
      </w:r>
    </w:p>
    <w:p>
      <w:pPr>
        <w:pStyle w:val="6"/>
        <w:keepNext w:val="0"/>
        <w:keepLines w:val="0"/>
        <w:widowControl/>
        <w:suppressLineNumbers w:val="0"/>
        <w:spacing w:before="0" w:beforeAutospacing="0" w:after="0" w:afterAutospacing="0" w:line="420" w:lineRule="atLeast"/>
        <w:ind w:left="0" w:right="0" w:firstLine="0"/>
        <w:rPr>
          <w:sz w:val="32"/>
          <w:szCs w:val="32"/>
        </w:rPr>
      </w:pPr>
      <w:r>
        <w:rPr>
          <w:rStyle w:val="9"/>
          <w:rFonts w:hint="default" w:ascii="仿宋_GB2312" w:eastAsia="仿宋_GB2312" w:cs="仿宋_GB2312"/>
          <w:sz w:val="32"/>
          <w:szCs w:val="32"/>
        </w:rPr>
        <w:t>       </w:t>
      </w:r>
      <w:r>
        <w:rPr>
          <w:rFonts w:hint="default" w:ascii="仿宋_GB2312" w:eastAsia="仿宋_GB2312" w:cs="仿宋_GB2312"/>
          <w:sz w:val="32"/>
          <w:szCs w:val="32"/>
        </w:rPr>
        <w:t>立足平阴物流总部基地实体平台，推动平阴物流资源的“线上化”整合，打造集信息发布、车货智能配载、运输管理、仓储展示交易、企业信用评级、物流大数据分析、金融保险、线上智</w:t>
      </w:r>
      <w:r>
        <w:rPr>
          <w:rFonts w:hint="default" w:ascii="仿宋_GB2312" w:eastAsia="仿宋_GB2312" w:cs="仿宋_GB2312"/>
          <w:spacing w:val="-15"/>
          <w:sz w:val="32"/>
          <w:szCs w:val="32"/>
        </w:rPr>
        <w:t>能缴费</w:t>
      </w:r>
      <w:r>
        <w:rPr>
          <w:rFonts w:hint="default" w:ascii="仿宋_GB2312" w:eastAsia="仿宋_GB2312" w:cs="仿宋_GB2312"/>
          <w:spacing w:val="0"/>
          <w:sz w:val="32"/>
          <w:szCs w:val="32"/>
        </w:rPr>
        <w:t>（</w:t>
      </w:r>
      <w:r>
        <w:rPr>
          <w:rFonts w:hint="default" w:ascii="仿宋_GB2312" w:eastAsia="仿宋_GB2312" w:cs="仿宋_GB2312"/>
          <w:spacing w:val="-15"/>
          <w:sz w:val="32"/>
          <w:szCs w:val="32"/>
        </w:rPr>
        <w:t>物业、餐饮住宿、停车、</w:t>
      </w:r>
      <w:r>
        <w:rPr>
          <w:rFonts w:hint="default" w:ascii="仿宋_GB2312" w:eastAsia="仿宋_GB2312" w:cs="仿宋_GB2312"/>
          <w:sz w:val="32"/>
          <w:szCs w:val="32"/>
        </w:rPr>
        <w:t>油卡充值）等功能于一体的“线上物流园区”，进一步拓展物流园区发展边界，实现更广范围的资源配置。</w:t>
      </w:r>
    </w:p>
    <w:p>
      <w:pPr>
        <w:pStyle w:val="6"/>
        <w:keepNext w:val="0"/>
        <w:keepLines w:val="0"/>
        <w:widowControl/>
        <w:suppressLineNumbers w:val="0"/>
        <w:spacing w:before="0" w:beforeAutospacing="0" w:after="0" w:afterAutospacing="0" w:line="420" w:lineRule="atLeast"/>
        <w:ind w:left="0" w:right="0"/>
        <w:jc w:val="center"/>
        <w:rPr>
          <w:sz w:val="32"/>
          <w:szCs w:val="32"/>
        </w:rPr>
      </w:pPr>
      <w:r>
        <w:rPr>
          <w:rFonts w:hint="eastAsia" w:ascii="宋体" w:hAnsi="宋体" w:eastAsia="宋体" w:cs="宋体"/>
          <w:color w:val="auto"/>
          <w:sz w:val="32"/>
          <w:szCs w:val="32"/>
          <w:u w:val="none"/>
          <w:bdr w:val="none" w:color="auto" w:sz="0" w:space="0"/>
        </w:rPr>
        <w:drawing>
          <wp:inline distT="0" distB="0" distL="114300" distR="114300">
            <wp:extent cx="3819525" cy="2819400"/>
            <wp:effectExtent l="0" t="0" r="9525" b="0"/>
            <wp:docPr id="20" name="图片 11" descr="1.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1.jpg"/>
                    <pic:cNvPicPr>
                      <a:picLocks noChangeAspect="1"/>
                    </pic:cNvPicPr>
                  </pic:nvPicPr>
                  <pic:blipFill>
                    <a:blip r:embed="rId26"/>
                    <a:stretch>
                      <a:fillRect/>
                    </a:stretch>
                  </pic:blipFill>
                  <pic:spPr>
                    <a:xfrm>
                      <a:off x="0" y="0"/>
                      <a:ext cx="3819525" cy="2819400"/>
                    </a:xfrm>
                    <a:prstGeom prst="rect">
                      <a:avLst/>
                    </a:prstGeom>
                    <a:noFill/>
                    <a:ln w="9525">
                      <a:noFill/>
                    </a:ln>
                  </pic:spPr>
                </pic:pic>
              </a:graphicData>
            </a:graphic>
          </wp:inline>
        </w:drawing>
      </w:r>
    </w:p>
    <w:p>
      <w:pPr>
        <w:pStyle w:val="6"/>
        <w:keepNext w:val="0"/>
        <w:keepLines w:val="0"/>
        <w:widowControl/>
        <w:suppressLineNumbers w:val="0"/>
        <w:spacing w:before="0" w:beforeAutospacing="0" w:after="0" w:afterAutospacing="0" w:line="420" w:lineRule="atLeast"/>
        <w:ind w:left="0" w:right="0"/>
        <w:jc w:val="center"/>
        <w:rPr>
          <w:sz w:val="32"/>
          <w:szCs w:val="32"/>
        </w:rPr>
      </w:pPr>
      <w:r>
        <w:rPr>
          <w:color w:val="auto"/>
          <w:sz w:val="32"/>
          <w:szCs w:val="32"/>
          <w:u w:val="none"/>
          <w:bdr w:val="none" w:color="auto" w:sz="0" w:space="0"/>
        </w:rPr>
        <w:drawing>
          <wp:inline distT="0" distB="0" distL="114300" distR="114300">
            <wp:extent cx="4762500" cy="3228975"/>
            <wp:effectExtent l="0" t="0" r="0" b="9525"/>
            <wp:docPr id="13" name="图片 12" descr="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1.jpg"/>
                    <pic:cNvPicPr>
                      <a:picLocks noChangeAspect="1"/>
                    </pic:cNvPicPr>
                  </pic:nvPicPr>
                  <pic:blipFill>
                    <a:blip r:embed="rId28"/>
                    <a:stretch>
                      <a:fillRect/>
                    </a:stretch>
                  </pic:blipFill>
                  <pic:spPr>
                    <a:xfrm>
                      <a:off x="0" y="0"/>
                      <a:ext cx="4762500" cy="3228975"/>
                    </a:xfrm>
                    <a:prstGeom prst="rect">
                      <a:avLst/>
                    </a:prstGeom>
                    <a:noFill/>
                    <a:ln w="9525">
                      <a:noFill/>
                    </a:ln>
                  </pic:spPr>
                </pic:pic>
              </a:graphicData>
            </a:graphic>
          </wp:inline>
        </w:drawing>
      </w:r>
    </w:p>
    <w:p>
      <w:pPr>
        <w:pStyle w:val="2"/>
        <w:keepNext w:val="0"/>
        <w:keepLines w:val="0"/>
        <w:widowControl/>
        <w:suppressLineNumbers w:val="0"/>
        <w:spacing w:before="60" w:beforeAutospacing="0" w:after="0" w:afterAutospacing="0" w:line="540" w:lineRule="atLeast"/>
        <w:ind w:left="960" w:right="0"/>
        <w:jc w:val="left"/>
        <w:rPr>
          <w:rFonts w:hint="default" w:ascii="Times New Roman" w:hAnsi="Times New Roman" w:cs="Times New Roman"/>
          <w:sz w:val="32"/>
          <w:szCs w:val="32"/>
        </w:rPr>
      </w:pPr>
      <w:bookmarkStart w:id="26" w:name="_Toc12388"/>
      <w:r>
        <w:rPr>
          <w:rFonts w:ascii="Calibri" w:hAnsi="Calibri" w:cs="Calibri"/>
          <w:spacing w:val="0"/>
          <w:sz w:val="32"/>
          <w:szCs w:val="32"/>
        </w:rPr>
        <w:t>1.1.2</w:t>
      </w:r>
      <w:r>
        <w:rPr>
          <w:rFonts w:hint="default" w:ascii="Times New Roman" w:hAnsi="Times New Roman" w:cs="Times New Roman"/>
          <w:b w:val="0"/>
          <w:bCs w:val="0"/>
          <w:sz w:val="32"/>
          <w:szCs w:val="32"/>
        </w:rPr>
        <w:t>   </w:t>
      </w:r>
      <w:r>
        <w:rPr>
          <w:rFonts w:hint="default" w:ascii="仿宋_GB2312" w:hAnsi="Times New Roman" w:eastAsia="仿宋_GB2312" w:cs="仿宋_GB2312"/>
          <w:b w:val="0"/>
          <w:bCs w:val="0"/>
          <w:sz w:val="32"/>
          <w:szCs w:val="32"/>
        </w:rPr>
        <w:t>分销配送区</w:t>
      </w:r>
      <w:bookmarkEnd w:id="26"/>
    </w:p>
    <w:p>
      <w:pPr>
        <w:pStyle w:val="6"/>
        <w:keepNext w:val="0"/>
        <w:keepLines w:val="0"/>
        <w:widowControl/>
        <w:suppressLineNumbers w:val="0"/>
        <w:spacing w:before="0" w:beforeAutospacing="0" w:after="0" w:afterAutospacing="0" w:line="420" w:lineRule="atLeast"/>
        <w:ind w:left="0" w:right="0"/>
        <w:jc w:val="center"/>
        <w:rPr>
          <w:sz w:val="32"/>
          <w:szCs w:val="32"/>
        </w:rPr>
      </w:pPr>
      <w:r>
        <w:rPr>
          <w:rFonts w:hint="default" w:ascii="仿宋_GB2312" w:eastAsia="仿宋_GB2312" w:cs="仿宋_GB2312"/>
          <w:color w:val="auto"/>
          <w:sz w:val="32"/>
          <w:szCs w:val="32"/>
          <w:u w:val="none"/>
          <w:bdr w:val="none" w:color="auto" w:sz="0" w:space="0"/>
        </w:rPr>
        <w:drawing>
          <wp:inline distT="0" distB="0" distL="114300" distR="114300">
            <wp:extent cx="4762500" cy="3495675"/>
            <wp:effectExtent l="0" t="0" r="0" b="9525"/>
            <wp:docPr id="23" name="图片 13" descr="1.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descr="1.jpg"/>
                    <pic:cNvPicPr>
                      <a:picLocks noChangeAspect="1"/>
                    </pic:cNvPicPr>
                  </pic:nvPicPr>
                  <pic:blipFill>
                    <a:blip r:embed="rId30"/>
                    <a:stretch>
                      <a:fillRect/>
                    </a:stretch>
                  </pic:blipFill>
                  <pic:spPr>
                    <a:xfrm>
                      <a:off x="0" y="0"/>
                      <a:ext cx="4762500" cy="3495675"/>
                    </a:xfrm>
                    <a:prstGeom prst="rect">
                      <a:avLst/>
                    </a:prstGeom>
                    <a:noFill/>
                    <a:ln w="9525">
                      <a:noFill/>
                    </a:ln>
                  </pic:spPr>
                </pic:pic>
              </a:graphicData>
            </a:graphic>
          </wp:inline>
        </w:drawing>
      </w:r>
    </w:p>
    <w:p>
      <w:pPr>
        <w:pStyle w:val="6"/>
        <w:keepNext w:val="0"/>
        <w:keepLines w:val="0"/>
        <w:widowControl/>
        <w:suppressLineNumbers w:val="0"/>
        <w:spacing w:before="60" w:beforeAutospacing="0" w:after="0" w:afterAutospacing="0" w:line="360" w:lineRule="atLeast"/>
        <w:ind w:left="0" w:right="255" w:firstLine="645"/>
        <w:jc w:val="left"/>
        <w:rPr>
          <w:sz w:val="32"/>
          <w:szCs w:val="32"/>
        </w:rPr>
      </w:pPr>
      <w:r>
        <w:rPr>
          <w:rFonts w:hint="default" w:ascii="仿宋_GB2312" w:eastAsia="仿宋_GB2312" w:cs="仿宋_GB2312"/>
          <w:b w:val="0"/>
          <w:bCs w:val="0"/>
          <w:sz w:val="32"/>
          <w:szCs w:val="32"/>
        </w:rPr>
        <w:t>——面向济南、泰安、聊城等周边区域，引入大型区域分销商，发展新业态、新模式，提供集中采购、区域分销、金融服务于一体的贸易分销供应链服务。</w:t>
      </w:r>
    </w:p>
    <w:p>
      <w:pPr>
        <w:pStyle w:val="6"/>
        <w:keepNext w:val="0"/>
        <w:keepLines w:val="0"/>
        <w:widowControl/>
        <w:suppressLineNumbers w:val="0"/>
        <w:spacing w:before="0" w:beforeAutospacing="0" w:after="0" w:afterAutospacing="0" w:line="420" w:lineRule="atLeast"/>
        <w:ind w:left="0" w:right="0"/>
        <w:rPr>
          <w:sz w:val="32"/>
          <w:szCs w:val="32"/>
        </w:rPr>
      </w:pPr>
      <w:r>
        <w:rPr>
          <w:sz w:val="32"/>
          <w:szCs w:val="32"/>
        </w:rPr>
        <w:t>         </w:t>
      </w:r>
      <w:r>
        <w:rPr>
          <w:rFonts w:hint="default" w:ascii="仿宋_GB2312" w:eastAsia="仿宋_GB2312" w:cs="仿宋_GB2312"/>
          <w:spacing w:val="-15"/>
          <w:sz w:val="32"/>
          <w:szCs w:val="32"/>
        </w:rPr>
        <w:t>——引进大型超市、品牌贸易商的城市配送中心项目，建设标准化的智能城市配送仓库，</w:t>
      </w:r>
      <w:r>
        <w:rPr>
          <w:rFonts w:hint="default" w:ascii="仿宋_GB2312" w:eastAsia="仿宋_GB2312" w:cs="仿宋_GB2312"/>
          <w:sz w:val="32"/>
          <w:szCs w:val="32"/>
        </w:rPr>
        <w:t>开展工业品配送、城乡共同配送等服务，通过集中配送模式及共享式仓储服务降低企业仓储配送成本。</w:t>
      </w:r>
    </w:p>
    <w:p>
      <w:pPr>
        <w:pStyle w:val="6"/>
        <w:keepNext w:val="0"/>
        <w:keepLines w:val="0"/>
        <w:widowControl/>
        <w:suppressLineNumbers w:val="0"/>
        <w:spacing w:before="0" w:beforeAutospacing="0" w:after="0" w:afterAutospacing="0" w:line="420" w:lineRule="atLeast"/>
        <w:ind w:left="0" w:right="0"/>
        <w:jc w:val="center"/>
        <w:rPr>
          <w:sz w:val="32"/>
          <w:szCs w:val="32"/>
        </w:rPr>
      </w:pPr>
      <w:r>
        <w:rPr>
          <w:rFonts w:hint="default" w:ascii="仿宋_GB2312" w:eastAsia="仿宋_GB2312" w:cs="仿宋_GB2312"/>
          <w:color w:val="auto"/>
          <w:sz w:val="32"/>
          <w:szCs w:val="32"/>
          <w:u w:val="none"/>
          <w:bdr w:val="none" w:color="auto" w:sz="0" w:space="0"/>
        </w:rPr>
        <w:drawing>
          <wp:inline distT="0" distB="0" distL="114300" distR="114300">
            <wp:extent cx="4762500" cy="7248525"/>
            <wp:effectExtent l="0" t="0" r="0" b="9525"/>
            <wp:docPr id="15" name="图片 14" descr="QQ图片20210413171609.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QQ图片20210413171609.png"/>
                    <pic:cNvPicPr>
                      <a:picLocks noChangeAspect="1"/>
                    </pic:cNvPicPr>
                  </pic:nvPicPr>
                  <pic:blipFill>
                    <a:blip r:embed="rId32"/>
                    <a:stretch>
                      <a:fillRect/>
                    </a:stretch>
                  </pic:blipFill>
                  <pic:spPr>
                    <a:xfrm>
                      <a:off x="0" y="0"/>
                      <a:ext cx="4762500" cy="7248525"/>
                    </a:xfrm>
                    <a:prstGeom prst="rect">
                      <a:avLst/>
                    </a:prstGeom>
                    <a:noFill/>
                    <a:ln w="9525">
                      <a:noFill/>
                    </a:ln>
                  </pic:spPr>
                </pic:pic>
              </a:graphicData>
            </a:graphic>
          </wp:inline>
        </w:drawing>
      </w:r>
    </w:p>
    <w:p>
      <w:pPr>
        <w:pStyle w:val="6"/>
        <w:keepNext w:val="0"/>
        <w:keepLines w:val="0"/>
        <w:widowControl/>
        <w:suppressLineNumbers w:val="0"/>
        <w:spacing w:before="0" w:beforeAutospacing="0" w:after="0" w:afterAutospacing="0" w:line="420" w:lineRule="atLeast"/>
        <w:ind w:left="0" w:right="0"/>
        <w:rPr>
          <w:sz w:val="32"/>
          <w:szCs w:val="32"/>
        </w:rPr>
      </w:pPr>
      <w:r>
        <w:rPr>
          <w:rFonts w:hint="default" w:ascii="仿宋_GB2312" w:eastAsia="仿宋_GB2312" w:cs="仿宋_GB2312"/>
          <w:sz w:val="32"/>
          <w:szCs w:val="32"/>
        </w:rPr>
        <w:t>       面向济南、泰安、聊城等的快消品、农产品、快递等需求，集聚区域分销商、批发零售商、连锁超市、电商企业，重点打造区域分销、仓配一体、分销分拨、冷链物流、共同配送等功</w:t>
      </w:r>
      <w:r>
        <w:rPr>
          <w:rFonts w:hint="default" w:ascii="仿宋_GB2312" w:eastAsia="仿宋_GB2312" w:cs="仿宋_GB2312"/>
          <w:spacing w:val="-15"/>
          <w:sz w:val="32"/>
          <w:szCs w:val="32"/>
        </w:rPr>
        <w:t>能，实现对工业品和城乡居民生活物资“门对门”的零距离、智能化配送服务，形成集展示、</w:t>
      </w:r>
      <w:r>
        <w:rPr>
          <w:rFonts w:hint="default" w:ascii="仿宋_GB2312" w:eastAsia="仿宋_GB2312" w:cs="仿宋_GB2312"/>
          <w:sz w:val="32"/>
          <w:szCs w:val="32"/>
        </w:rPr>
        <w:t>交易、仓储、物流、支付等功能于一体的区域分销分拨中心。</w:t>
      </w:r>
    </w:p>
    <w:p>
      <w:pPr>
        <w:pStyle w:val="6"/>
        <w:keepNext w:val="0"/>
        <w:keepLines w:val="0"/>
        <w:widowControl/>
        <w:suppressLineNumbers w:val="0"/>
        <w:spacing w:before="0" w:beforeAutospacing="0" w:after="0" w:afterAutospacing="0" w:line="420" w:lineRule="atLeast"/>
        <w:ind w:left="0" w:right="0"/>
        <w:jc w:val="center"/>
        <w:rPr>
          <w:sz w:val="32"/>
          <w:szCs w:val="32"/>
        </w:rPr>
      </w:pPr>
      <w:r>
        <w:rPr>
          <w:color w:val="auto"/>
          <w:sz w:val="32"/>
          <w:szCs w:val="32"/>
          <w:u w:val="none"/>
          <w:bdr w:val="none" w:color="auto" w:sz="0" w:space="0"/>
        </w:rPr>
        <w:drawing>
          <wp:inline distT="0" distB="0" distL="114300" distR="114300">
            <wp:extent cx="4762500" cy="3143250"/>
            <wp:effectExtent l="0" t="0" r="0" b="0"/>
            <wp:docPr id="21" name="图片 15" descr="FN%K7Z40CI([DI[)H2YF634.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descr="FN%K7Z40CI([DI[)H2YF634.png"/>
                    <pic:cNvPicPr>
                      <a:picLocks noChangeAspect="1"/>
                    </pic:cNvPicPr>
                  </pic:nvPicPr>
                  <pic:blipFill>
                    <a:blip r:embed="rId34"/>
                    <a:stretch>
                      <a:fillRect/>
                    </a:stretch>
                  </pic:blipFill>
                  <pic:spPr>
                    <a:xfrm>
                      <a:off x="0" y="0"/>
                      <a:ext cx="4762500" cy="3143250"/>
                    </a:xfrm>
                    <a:prstGeom prst="rect">
                      <a:avLst/>
                    </a:prstGeom>
                    <a:noFill/>
                    <a:ln w="9525">
                      <a:noFill/>
                    </a:ln>
                  </pic:spPr>
                </pic:pic>
              </a:graphicData>
            </a:graphic>
          </wp:inline>
        </w:drawing>
      </w:r>
    </w:p>
    <w:p>
      <w:pPr>
        <w:pStyle w:val="6"/>
        <w:keepNext w:val="0"/>
        <w:keepLines w:val="0"/>
        <w:widowControl/>
        <w:suppressLineNumbers w:val="0"/>
        <w:spacing w:before="165" w:beforeAutospacing="0" w:after="0" w:afterAutospacing="0" w:line="360" w:lineRule="atLeast"/>
        <w:ind w:left="210" w:right="255" w:firstLine="480"/>
        <w:jc w:val="left"/>
        <w:rPr>
          <w:sz w:val="32"/>
          <w:szCs w:val="32"/>
        </w:rPr>
      </w:pPr>
      <w:r>
        <w:rPr>
          <w:rFonts w:hint="default" w:ascii="仿宋_GB2312" w:eastAsia="仿宋_GB2312" w:cs="仿宋_GB2312"/>
          <w:b w:val="0"/>
          <w:bCs w:val="0"/>
          <w:spacing w:val="0"/>
          <w:sz w:val="32"/>
          <w:szCs w:val="32"/>
        </w:rPr>
        <w:t>补齐县域物流短板，构建覆盖平阴县县域范围的城乡配送网络。引入具有网络化服务能力的大型第三方城乡配送企业，加强干线运输与城乡配送高效衔接，发展“城市货的”等模式，重点面向制造企业、商场、连锁超市、餐饮企业等，提供冷链配送、工业品配送、集中</w:t>
      </w:r>
      <w:r>
        <w:rPr>
          <w:rFonts w:hint="default" w:ascii="仿宋_GB2312" w:eastAsia="仿宋_GB2312" w:cs="仿宋_GB2312"/>
          <w:b w:val="0"/>
          <w:bCs w:val="0"/>
          <w:sz w:val="32"/>
          <w:szCs w:val="32"/>
        </w:rPr>
        <w:t>配送、农村物流等服务。</w:t>
      </w:r>
    </w:p>
    <w:p>
      <w:pPr>
        <w:pStyle w:val="6"/>
        <w:keepNext w:val="0"/>
        <w:keepLines w:val="0"/>
        <w:widowControl/>
        <w:suppressLineNumbers w:val="0"/>
        <w:spacing w:before="0" w:beforeAutospacing="0" w:after="0" w:afterAutospacing="0" w:line="420" w:lineRule="atLeast"/>
        <w:ind w:left="0" w:right="0"/>
        <w:rPr>
          <w:sz w:val="32"/>
          <w:szCs w:val="32"/>
        </w:rPr>
      </w:pPr>
      <w:r>
        <w:rPr>
          <w:sz w:val="32"/>
          <w:szCs w:val="32"/>
        </w:rPr>
        <w:t>          </w:t>
      </w:r>
      <w:r>
        <w:rPr>
          <w:rFonts w:hint="default" w:ascii="仿宋_GB2312" w:eastAsia="仿宋_GB2312" w:cs="仿宋_GB2312"/>
          <w:sz w:val="32"/>
          <w:szCs w:val="32"/>
        </w:rPr>
        <w:t>1.1.3电商物流区</w:t>
      </w:r>
    </w:p>
    <w:p>
      <w:pPr>
        <w:pStyle w:val="6"/>
        <w:keepNext w:val="0"/>
        <w:keepLines w:val="0"/>
        <w:widowControl/>
        <w:suppressLineNumbers w:val="0"/>
        <w:spacing w:before="0" w:beforeAutospacing="0" w:after="0" w:afterAutospacing="0" w:line="420" w:lineRule="atLeast"/>
        <w:ind w:left="0" w:right="0"/>
        <w:jc w:val="center"/>
        <w:rPr>
          <w:sz w:val="32"/>
          <w:szCs w:val="32"/>
        </w:rPr>
      </w:pPr>
      <w:r>
        <w:rPr>
          <w:rFonts w:hint="default" w:ascii="仿宋_GB2312" w:eastAsia="仿宋_GB2312" w:cs="仿宋_GB2312"/>
          <w:color w:val="auto"/>
          <w:sz w:val="32"/>
          <w:szCs w:val="32"/>
          <w:u w:val="none"/>
          <w:bdr w:val="none" w:color="auto" w:sz="0" w:space="0"/>
        </w:rPr>
        <w:drawing>
          <wp:inline distT="0" distB="0" distL="114300" distR="114300">
            <wp:extent cx="4762500" cy="3419475"/>
            <wp:effectExtent l="0" t="0" r="0" b="9525"/>
            <wp:docPr id="16" name="图片 16" descr="1.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jpg"/>
                    <pic:cNvPicPr>
                      <a:picLocks noChangeAspect="1"/>
                    </pic:cNvPicPr>
                  </pic:nvPicPr>
                  <pic:blipFill>
                    <a:blip r:embed="rId36"/>
                    <a:stretch>
                      <a:fillRect/>
                    </a:stretch>
                  </pic:blipFill>
                  <pic:spPr>
                    <a:xfrm>
                      <a:off x="0" y="0"/>
                      <a:ext cx="4762500" cy="3419475"/>
                    </a:xfrm>
                    <a:prstGeom prst="rect">
                      <a:avLst/>
                    </a:prstGeom>
                    <a:noFill/>
                    <a:ln w="9525">
                      <a:noFill/>
                    </a:ln>
                  </pic:spPr>
                </pic:pic>
              </a:graphicData>
            </a:graphic>
          </wp:inline>
        </w:drawing>
      </w:r>
    </w:p>
    <w:p>
      <w:pPr>
        <w:pStyle w:val="6"/>
        <w:keepNext w:val="0"/>
        <w:keepLines w:val="0"/>
        <w:widowControl/>
        <w:suppressLineNumbers w:val="0"/>
        <w:spacing w:before="0" w:beforeAutospacing="0" w:after="0" w:afterAutospacing="0" w:line="420" w:lineRule="atLeast"/>
        <w:ind w:left="0" w:right="0"/>
        <w:rPr>
          <w:sz w:val="32"/>
          <w:szCs w:val="32"/>
        </w:rPr>
      </w:pPr>
    </w:p>
    <w:p>
      <w:pPr>
        <w:pStyle w:val="6"/>
        <w:keepNext w:val="0"/>
        <w:keepLines w:val="0"/>
        <w:widowControl/>
        <w:suppressLineNumbers w:val="0"/>
        <w:spacing w:before="90" w:beforeAutospacing="0" w:after="0" w:afterAutospacing="0" w:line="360" w:lineRule="atLeast"/>
        <w:ind w:left="0" w:right="255" w:firstLine="645"/>
        <w:jc w:val="left"/>
        <w:rPr>
          <w:sz w:val="32"/>
          <w:szCs w:val="32"/>
        </w:rPr>
      </w:pPr>
      <w:r>
        <w:rPr>
          <w:rFonts w:hint="default" w:ascii="仿宋_GB2312" w:eastAsia="仿宋_GB2312" w:cs="仿宋_GB2312"/>
          <w:b w:val="0"/>
          <w:bCs w:val="0"/>
          <w:sz w:val="32"/>
          <w:szCs w:val="32"/>
        </w:rPr>
        <w:t>——引进电商物流企业，以“电子商务</w:t>
      </w:r>
      <w:r>
        <w:rPr>
          <w:rFonts w:hint="eastAsia" w:ascii="宋体" w:hAnsi="宋体" w:eastAsia="宋体" w:cs="宋体"/>
          <w:b w:val="0"/>
          <w:bCs w:val="0"/>
          <w:sz w:val="32"/>
          <w:szCs w:val="32"/>
        </w:rPr>
        <w:t>+</w:t>
      </w:r>
      <w:r>
        <w:rPr>
          <w:rFonts w:hint="default" w:ascii="仿宋_GB2312" w:eastAsia="仿宋_GB2312" w:cs="仿宋_GB2312"/>
          <w:b w:val="0"/>
          <w:bCs w:val="0"/>
          <w:sz w:val="32"/>
          <w:szCs w:val="32"/>
        </w:rPr>
        <w:t>仓配一体</w:t>
      </w:r>
      <w:r>
        <w:rPr>
          <w:rFonts w:hint="eastAsia" w:ascii="宋体" w:hAnsi="宋体" w:eastAsia="宋体" w:cs="宋体"/>
          <w:b w:val="0"/>
          <w:bCs w:val="0"/>
          <w:sz w:val="32"/>
          <w:szCs w:val="32"/>
        </w:rPr>
        <w:t>+</w:t>
      </w:r>
      <w:r>
        <w:rPr>
          <w:rFonts w:hint="default" w:ascii="仿宋_GB2312" w:eastAsia="仿宋_GB2312" w:cs="仿宋_GB2312"/>
          <w:b w:val="0"/>
          <w:bCs w:val="0"/>
          <w:sz w:val="32"/>
          <w:szCs w:val="32"/>
        </w:rPr>
        <w:t>快递分拨”为核心，集聚大型电商平台、中小型电商运营企业、跨境电商企业、快递物流企业和电商仓储等产业链上下游企业，主要提供电商仓配、电商定制加工、电商体验、智慧云仓、快递分拨等功能。</w:t>
      </w:r>
    </w:p>
    <w:p>
      <w:pPr>
        <w:pStyle w:val="6"/>
        <w:keepNext w:val="0"/>
        <w:keepLines w:val="0"/>
        <w:widowControl/>
        <w:suppressLineNumbers w:val="0"/>
        <w:spacing w:before="0" w:beforeAutospacing="0" w:after="0" w:afterAutospacing="0" w:line="420" w:lineRule="atLeast"/>
        <w:ind w:left="0" w:right="0"/>
        <w:rPr>
          <w:sz w:val="32"/>
          <w:szCs w:val="32"/>
        </w:rPr>
      </w:pPr>
      <w:r>
        <w:rPr>
          <w:sz w:val="32"/>
          <w:szCs w:val="32"/>
        </w:rPr>
        <w:t>         </w:t>
      </w:r>
      <w:r>
        <w:rPr>
          <w:rFonts w:hint="default" w:ascii="仿宋_GB2312" w:eastAsia="仿宋_GB2312" w:cs="仿宋_GB2312"/>
          <w:sz w:val="32"/>
          <w:szCs w:val="32"/>
        </w:rPr>
        <w:t>——大力发展“直播电商</w:t>
      </w:r>
      <w:r>
        <w:rPr>
          <w:rFonts w:hint="eastAsia" w:ascii="宋体" w:hAnsi="宋体" w:eastAsia="宋体" w:cs="宋体"/>
          <w:sz w:val="32"/>
          <w:szCs w:val="32"/>
        </w:rPr>
        <w:t>+</w:t>
      </w:r>
      <w:r>
        <w:rPr>
          <w:rFonts w:hint="default" w:ascii="仿宋_GB2312" w:eastAsia="仿宋_GB2312" w:cs="仿宋_GB2312"/>
          <w:sz w:val="32"/>
          <w:szCs w:val="32"/>
        </w:rPr>
        <w:t>特色产业</w:t>
      </w:r>
      <w:r>
        <w:rPr>
          <w:rFonts w:hint="eastAsia" w:ascii="宋体" w:hAnsi="宋体" w:eastAsia="宋体" w:cs="宋体"/>
          <w:sz w:val="32"/>
          <w:szCs w:val="32"/>
        </w:rPr>
        <w:t>+</w:t>
      </w:r>
      <w:r>
        <w:rPr>
          <w:rFonts w:hint="default" w:ascii="仿宋_GB2312" w:eastAsia="仿宋_GB2312" w:cs="仿宋_GB2312"/>
          <w:sz w:val="32"/>
          <w:szCs w:val="32"/>
        </w:rPr>
        <w:t>电商物流”模式，打造电商直播供应链基地，构建集选货、直播、发货、仓储、物流、配送、包装、加工等直播电商物流供应链体系。</w:t>
      </w:r>
    </w:p>
    <w:p>
      <w:pPr>
        <w:pStyle w:val="6"/>
        <w:keepNext w:val="0"/>
        <w:keepLines w:val="0"/>
        <w:widowControl/>
        <w:suppressLineNumbers w:val="0"/>
        <w:spacing w:before="0" w:beforeAutospacing="0" w:after="0" w:afterAutospacing="0" w:line="420" w:lineRule="atLeast"/>
        <w:ind w:left="0" w:right="0"/>
        <w:jc w:val="center"/>
        <w:rPr>
          <w:sz w:val="32"/>
          <w:szCs w:val="32"/>
        </w:rPr>
      </w:pPr>
      <w:r>
        <w:rPr>
          <w:rFonts w:hint="default" w:ascii="仿宋_GB2312" w:eastAsia="仿宋_GB2312" w:cs="仿宋_GB2312"/>
          <w:color w:val="auto"/>
          <w:sz w:val="32"/>
          <w:szCs w:val="32"/>
          <w:u w:val="none"/>
          <w:bdr w:val="none" w:color="auto" w:sz="0" w:space="0"/>
        </w:rPr>
        <w:drawing>
          <wp:inline distT="0" distB="0" distL="114300" distR="114300">
            <wp:extent cx="4762500" cy="1857375"/>
            <wp:effectExtent l="0" t="0" r="0" b="9525"/>
            <wp:docPr id="22" name="图片 17" descr="1.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descr="1.jpg"/>
                    <pic:cNvPicPr>
                      <a:picLocks noChangeAspect="1"/>
                    </pic:cNvPicPr>
                  </pic:nvPicPr>
                  <pic:blipFill>
                    <a:blip r:embed="rId38"/>
                    <a:stretch>
                      <a:fillRect/>
                    </a:stretch>
                  </pic:blipFill>
                  <pic:spPr>
                    <a:xfrm>
                      <a:off x="0" y="0"/>
                      <a:ext cx="4762500" cy="1857375"/>
                    </a:xfrm>
                    <a:prstGeom prst="rect">
                      <a:avLst/>
                    </a:prstGeom>
                    <a:noFill/>
                    <a:ln w="9525">
                      <a:noFill/>
                    </a:ln>
                  </pic:spPr>
                </pic:pic>
              </a:graphicData>
            </a:graphic>
          </wp:inline>
        </w:drawing>
      </w:r>
    </w:p>
    <w:p>
      <w:pPr>
        <w:pStyle w:val="6"/>
        <w:keepNext w:val="0"/>
        <w:keepLines w:val="0"/>
        <w:widowControl/>
        <w:suppressLineNumbers w:val="0"/>
        <w:spacing w:before="0" w:beforeAutospacing="0" w:after="0" w:afterAutospacing="0" w:line="420" w:lineRule="atLeast"/>
        <w:ind w:left="0" w:right="0"/>
        <w:jc w:val="center"/>
        <w:rPr>
          <w:sz w:val="32"/>
          <w:szCs w:val="32"/>
        </w:rPr>
      </w:pPr>
      <w:r>
        <w:rPr>
          <w:rFonts w:hint="default" w:ascii="仿宋_GB2312" w:eastAsia="仿宋_GB2312" w:cs="仿宋_GB2312"/>
          <w:color w:val="auto"/>
          <w:sz w:val="32"/>
          <w:szCs w:val="32"/>
          <w:u w:val="none"/>
          <w:bdr w:val="none" w:color="auto" w:sz="0" w:space="0"/>
        </w:rPr>
        <w:drawing>
          <wp:inline distT="0" distB="0" distL="114300" distR="114300">
            <wp:extent cx="4762500" cy="2438400"/>
            <wp:effectExtent l="0" t="0" r="0" b="0"/>
            <wp:docPr id="24" name="图片 18" descr="2.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descr="2.jpg"/>
                    <pic:cNvPicPr>
                      <a:picLocks noChangeAspect="1"/>
                    </pic:cNvPicPr>
                  </pic:nvPicPr>
                  <pic:blipFill>
                    <a:blip r:embed="rId40"/>
                    <a:stretch>
                      <a:fillRect/>
                    </a:stretch>
                  </pic:blipFill>
                  <pic:spPr>
                    <a:xfrm>
                      <a:off x="0" y="0"/>
                      <a:ext cx="4762500" cy="2438400"/>
                    </a:xfrm>
                    <a:prstGeom prst="rect">
                      <a:avLst/>
                    </a:prstGeom>
                    <a:noFill/>
                    <a:ln w="9525">
                      <a:noFill/>
                    </a:ln>
                  </pic:spPr>
                </pic:pic>
              </a:graphicData>
            </a:graphic>
          </wp:inline>
        </w:drawing>
      </w:r>
    </w:p>
    <w:p>
      <w:pPr>
        <w:pStyle w:val="6"/>
        <w:keepNext w:val="0"/>
        <w:keepLines w:val="0"/>
        <w:widowControl/>
        <w:suppressLineNumbers w:val="0"/>
        <w:spacing w:before="0" w:beforeAutospacing="0" w:after="0" w:afterAutospacing="0" w:line="420" w:lineRule="atLeast"/>
        <w:ind w:left="0" w:right="0"/>
        <w:rPr>
          <w:sz w:val="32"/>
          <w:szCs w:val="32"/>
        </w:rPr>
      </w:pPr>
      <w:r>
        <w:rPr>
          <w:rFonts w:hint="default" w:ascii="仿宋_GB2312" w:eastAsia="仿宋_GB2312" w:cs="仿宋_GB2312"/>
          <w:sz w:val="32"/>
          <w:szCs w:val="32"/>
        </w:rPr>
        <w:t>        1.1.4冷链物流区</w:t>
      </w:r>
    </w:p>
    <w:p>
      <w:pPr>
        <w:pStyle w:val="6"/>
        <w:keepNext w:val="0"/>
        <w:keepLines w:val="0"/>
        <w:widowControl/>
        <w:suppressLineNumbers w:val="0"/>
        <w:spacing w:before="0" w:beforeAutospacing="0" w:after="0" w:afterAutospacing="0" w:line="420" w:lineRule="atLeast"/>
        <w:ind w:left="0" w:right="0"/>
        <w:jc w:val="center"/>
        <w:rPr>
          <w:sz w:val="32"/>
          <w:szCs w:val="32"/>
        </w:rPr>
      </w:pPr>
      <w:r>
        <w:rPr>
          <w:rFonts w:hint="default" w:ascii="仿宋_GB2312" w:eastAsia="仿宋_GB2312" w:cs="仿宋_GB2312"/>
          <w:color w:val="auto"/>
          <w:sz w:val="32"/>
          <w:szCs w:val="32"/>
          <w:u w:val="none"/>
          <w:bdr w:val="none" w:color="auto" w:sz="0" w:space="0"/>
        </w:rPr>
        <w:drawing>
          <wp:inline distT="0" distB="0" distL="114300" distR="114300">
            <wp:extent cx="4762500" cy="3486150"/>
            <wp:effectExtent l="0" t="0" r="0" b="0"/>
            <wp:docPr id="4" name="图片 19" descr="1.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descr="1.jpg"/>
                    <pic:cNvPicPr>
                      <a:picLocks noChangeAspect="1"/>
                    </pic:cNvPicPr>
                  </pic:nvPicPr>
                  <pic:blipFill>
                    <a:blip r:embed="rId42"/>
                    <a:stretch>
                      <a:fillRect/>
                    </a:stretch>
                  </pic:blipFill>
                  <pic:spPr>
                    <a:xfrm>
                      <a:off x="0" y="0"/>
                      <a:ext cx="4762500" cy="3486150"/>
                    </a:xfrm>
                    <a:prstGeom prst="rect">
                      <a:avLst/>
                    </a:prstGeom>
                    <a:noFill/>
                    <a:ln w="9525">
                      <a:noFill/>
                    </a:ln>
                  </pic:spPr>
                </pic:pic>
              </a:graphicData>
            </a:graphic>
          </wp:inline>
        </w:drawing>
      </w:r>
    </w:p>
    <w:p>
      <w:pPr>
        <w:pStyle w:val="6"/>
        <w:keepNext w:val="0"/>
        <w:keepLines w:val="0"/>
        <w:widowControl/>
        <w:suppressLineNumbers w:val="0"/>
        <w:spacing w:before="0" w:beforeAutospacing="0" w:after="0" w:afterAutospacing="0" w:line="420" w:lineRule="atLeast"/>
        <w:ind w:left="0" w:right="0"/>
        <w:rPr>
          <w:sz w:val="32"/>
          <w:szCs w:val="32"/>
        </w:rPr>
      </w:pPr>
    </w:p>
    <w:p>
      <w:pPr>
        <w:pStyle w:val="6"/>
        <w:keepNext w:val="0"/>
        <w:keepLines w:val="0"/>
        <w:widowControl/>
        <w:suppressLineNumbers w:val="0"/>
        <w:spacing w:before="90" w:beforeAutospacing="0" w:after="0" w:afterAutospacing="0" w:line="360" w:lineRule="atLeast"/>
        <w:ind w:left="0" w:right="0" w:firstLine="645"/>
        <w:jc w:val="left"/>
        <w:rPr>
          <w:sz w:val="32"/>
          <w:szCs w:val="32"/>
        </w:rPr>
      </w:pPr>
      <w:r>
        <w:rPr>
          <w:rFonts w:hint="default" w:ascii="仿宋_GB2312" w:eastAsia="仿宋_GB2312" w:cs="仿宋_GB2312"/>
          <w:sz w:val="32"/>
          <w:szCs w:val="32"/>
        </w:rPr>
        <w:t>——高标准建设冷冻库、冷藏库及恒温库等冷库设施，引进第三方冷链运输企业、冷链配送企业等，建立专业化的冷链物流运输车队，开展果蔬、肉类、速冻食品等的低温加工、冷冻、冷藏、冷链配送等冷链物流服务。</w:t>
      </w:r>
    </w:p>
    <w:p>
      <w:pPr>
        <w:pStyle w:val="6"/>
        <w:keepNext w:val="0"/>
        <w:keepLines w:val="0"/>
        <w:widowControl/>
        <w:suppressLineNumbers w:val="0"/>
        <w:spacing w:before="0" w:beforeAutospacing="0" w:after="0" w:afterAutospacing="0" w:line="420" w:lineRule="atLeast"/>
        <w:ind w:left="0" w:right="0"/>
        <w:rPr>
          <w:sz w:val="32"/>
          <w:szCs w:val="32"/>
        </w:rPr>
      </w:pPr>
      <w:r>
        <w:rPr>
          <w:rStyle w:val="9"/>
          <w:rFonts w:hint="default" w:ascii="仿宋_GB2312" w:eastAsia="仿宋_GB2312" w:cs="仿宋_GB2312"/>
          <w:sz w:val="32"/>
          <w:szCs w:val="32"/>
        </w:rPr>
        <w:t>       </w:t>
      </w:r>
      <w:r>
        <w:rPr>
          <w:rFonts w:hint="default" w:ascii="仿宋_GB2312" w:eastAsia="仿宋_GB2312" w:cs="仿宋_GB2312"/>
          <w:sz w:val="32"/>
          <w:szCs w:val="32"/>
        </w:rPr>
        <w:t>——建设生鲜配送仓库、低温加工车间等设施，引进冷链配送企业及果蔬、肉类、副食品加工企业等，开展农产品的初加工或深加工，为生鲜农产品超市、生鲜电商企业、农产品加工企业等提供检测、低温加工、分级拣选、冷冻冷藏、包装、冷链配送等服务。</w:t>
      </w:r>
    </w:p>
    <w:p>
      <w:pPr>
        <w:pStyle w:val="6"/>
        <w:keepNext w:val="0"/>
        <w:keepLines w:val="0"/>
        <w:widowControl/>
        <w:suppressLineNumbers w:val="0"/>
        <w:spacing w:before="0" w:beforeAutospacing="0" w:after="0" w:afterAutospacing="0" w:line="420" w:lineRule="atLeast"/>
        <w:ind w:left="0" w:right="0"/>
        <w:jc w:val="center"/>
        <w:rPr>
          <w:sz w:val="32"/>
          <w:szCs w:val="32"/>
        </w:rPr>
      </w:pPr>
      <w:r>
        <w:rPr>
          <w:rFonts w:hint="default" w:ascii="仿宋_GB2312" w:eastAsia="仿宋_GB2312" w:cs="仿宋_GB2312"/>
          <w:color w:val="auto"/>
          <w:sz w:val="32"/>
          <w:szCs w:val="32"/>
          <w:u w:val="none"/>
          <w:bdr w:val="none" w:color="auto" w:sz="0" w:space="0"/>
        </w:rPr>
        <w:drawing>
          <wp:inline distT="0" distB="0" distL="114300" distR="114300">
            <wp:extent cx="4762500" cy="3352800"/>
            <wp:effectExtent l="0" t="0" r="0" b="0"/>
            <wp:docPr id="7" name="图片 20" descr="ZQ}DGX$@I]DRX)@M$_3CD7X.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0" descr="ZQ}DGX$@I]DRX)@M$_3CD7X.png"/>
                    <pic:cNvPicPr>
                      <a:picLocks noChangeAspect="1"/>
                    </pic:cNvPicPr>
                  </pic:nvPicPr>
                  <pic:blipFill>
                    <a:blip r:embed="rId44"/>
                    <a:stretch>
                      <a:fillRect/>
                    </a:stretch>
                  </pic:blipFill>
                  <pic:spPr>
                    <a:xfrm>
                      <a:off x="0" y="0"/>
                      <a:ext cx="4762500" cy="3352800"/>
                    </a:xfrm>
                    <a:prstGeom prst="rect">
                      <a:avLst/>
                    </a:prstGeom>
                    <a:noFill/>
                    <a:ln w="9525">
                      <a:noFill/>
                    </a:ln>
                  </pic:spPr>
                </pic:pic>
              </a:graphicData>
            </a:graphic>
          </wp:inline>
        </w:drawing>
      </w:r>
    </w:p>
    <w:p>
      <w:pPr>
        <w:pStyle w:val="6"/>
        <w:keepNext w:val="0"/>
        <w:keepLines w:val="0"/>
        <w:widowControl/>
        <w:suppressLineNumbers w:val="0"/>
        <w:spacing w:before="0" w:beforeAutospacing="0" w:after="0" w:afterAutospacing="0" w:line="420" w:lineRule="atLeast"/>
        <w:ind w:left="0" w:right="0"/>
        <w:rPr>
          <w:sz w:val="32"/>
          <w:szCs w:val="32"/>
        </w:rPr>
      </w:pPr>
      <w:r>
        <w:rPr>
          <w:rFonts w:hint="default" w:ascii="仿宋_GB2312" w:eastAsia="仿宋_GB2312" w:cs="仿宋_GB2312"/>
          <w:sz w:val="32"/>
          <w:szCs w:val="32"/>
        </w:rPr>
        <w:t>       1.1.5综合配套区</w:t>
      </w:r>
    </w:p>
    <w:p>
      <w:pPr>
        <w:pStyle w:val="6"/>
        <w:keepNext w:val="0"/>
        <w:keepLines w:val="0"/>
        <w:widowControl/>
        <w:suppressLineNumbers w:val="0"/>
        <w:spacing w:before="0" w:beforeAutospacing="0" w:after="0" w:afterAutospacing="0" w:line="420" w:lineRule="atLeast"/>
        <w:ind w:left="0" w:right="0"/>
        <w:rPr>
          <w:sz w:val="32"/>
          <w:szCs w:val="32"/>
        </w:rPr>
      </w:pPr>
      <w:r>
        <w:rPr>
          <w:rFonts w:hint="default" w:ascii="仿宋_GB2312" w:eastAsia="仿宋_GB2312" w:cs="仿宋_GB2312"/>
          <w:sz w:val="32"/>
          <w:szCs w:val="32"/>
        </w:rPr>
        <w:t>       综合配套区是整个园区商务、管理、休闲、配套功能的集中载体。</w:t>
      </w:r>
    </w:p>
    <w:p>
      <w:pPr>
        <w:pStyle w:val="6"/>
        <w:keepNext w:val="0"/>
        <w:keepLines w:val="0"/>
        <w:widowControl/>
        <w:suppressLineNumbers w:val="0"/>
        <w:spacing w:before="0" w:beforeAutospacing="0" w:after="0" w:afterAutospacing="0" w:line="420" w:lineRule="atLeast"/>
        <w:ind w:left="0" w:right="0"/>
        <w:jc w:val="center"/>
        <w:rPr>
          <w:sz w:val="32"/>
          <w:szCs w:val="32"/>
        </w:rPr>
      </w:pPr>
      <w:r>
        <w:rPr>
          <w:rFonts w:hint="default" w:ascii="仿宋_GB2312" w:eastAsia="仿宋_GB2312" w:cs="仿宋_GB2312"/>
          <w:color w:val="auto"/>
          <w:sz w:val="32"/>
          <w:szCs w:val="32"/>
          <w:u w:val="none"/>
          <w:bdr w:val="none" w:color="auto" w:sz="0" w:space="0"/>
        </w:rPr>
        <w:drawing>
          <wp:inline distT="0" distB="0" distL="114300" distR="114300">
            <wp:extent cx="4762500" cy="3429000"/>
            <wp:effectExtent l="0" t="0" r="0" b="0"/>
            <wp:docPr id="6" name="图片 21" descr="1.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1" descr="1.jpg"/>
                    <pic:cNvPicPr>
                      <a:picLocks noChangeAspect="1"/>
                    </pic:cNvPicPr>
                  </pic:nvPicPr>
                  <pic:blipFill>
                    <a:blip r:embed="rId46"/>
                    <a:stretch>
                      <a:fillRect/>
                    </a:stretch>
                  </pic:blipFill>
                  <pic:spPr>
                    <a:xfrm>
                      <a:off x="0" y="0"/>
                      <a:ext cx="4762500" cy="3429000"/>
                    </a:xfrm>
                    <a:prstGeom prst="rect">
                      <a:avLst/>
                    </a:prstGeom>
                    <a:noFill/>
                    <a:ln w="9525">
                      <a:noFill/>
                    </a:ln>
                  </pic:spPr>
                </pic:pic>
              </a:graphicData>
            </a:graphic>
          </wp:inline>
        </w:drawing>
      </w:r>
    </w:p>
    <w:p>
      <w:pPr>
        <w:pStyle w:val="6"/>
        <w:keepNext w:val="0"/>
        <w:keepLines w:val="0"/>
        <w:widowControl/>
        <w:suppressLineNumbers w:val="0"/>
        <w:spacing w:before="0" w:beforeAutospacing="0" w:after="0" w:afterAutospacing="0" w:line="420" w:lineRule="atLeast"/>
        <w:ind w:left="0" w:right="0"/>
        <w:rPr>
          <w:sz w:val="32"/>
          <w:szCs w:val="32"/>
        </w:rPr>
      </w:pPr>
    </w:p>
    <w:p>
      <w:pPr>
        <w:pStyle w:val="6"/>
        <w:keepNext w:val="0"/>
        <w:keepLines w:val="0"/>
        <w:widowControl/>
        <w:suppressLineNumbers w:val="0"/>
        <w:spacing w:before="90" w:beforeAutospacing="0" w:after="0" w:afterAutospacing="0" w:line="360" w:lineRule="atLeast"/>
        <w:ind w:left="0" w:right="255" w:firstLine="480"/>
        <w:jc w:val="left"/>
        <w:rPr>
          <w:sz w:val="32"/>
          <w:szCs w:val="32"/>
        </w:rPr>
      </w:pPr>
      <w:r>
        <w:rPr>
          <w:rFonts w:hint="default" w:ascii="仿宋_GB2312" w:eastAsia="仿宋_GB2312" w:cs="仿宋_GB2312"/>
          <w:b w:val="0"/>
          <w:bCs w:val="0"/>
          <w:sz w:val="32"/>
          <w:szCs w:val="32"/>
        </w:rPr>
        <w:t>——建设智慧物流大厦，作为园区的管理中心，为入驻企业、管理机构、政务部门等提供一体化商务办公服务。主要建设商务办公楼、会议中心、商业设施、人才公寓等。</w:t>
      </w:r>
    </w:p>
    <w:p>
      <w:pPr>
        <w:pStyle w:val="6"/>
        <w:keepNext w:val="0"/>
        <w:keepLines w:val="0"/>
        <w:widowControl/>
        <w:suppressLineNumbers w:val="0"/>
        <w:spacing w:before="0" w:beforeAutospacing="0" w:after="0" w:afterAutospacing="0" w:line="360" w:lineRule="atLeast"/>
        <w:ind w:left="0" w:right="255" w:firstLine="480"/>
        <w:jc w:val="left"/>
        <w:rPr>
          <w:sz w:val="32"/>
          <w:szCs w:val="32"/>
        </w:rPr>
      </w:pPr>
      <w:r>
        <w:rPr>
          <w:rFonts w:hint="default" w:ascii="仿宋_GB2312" w:eastAsia="仿宋_GB2312" w:cs="仿宋_GB2312"/>
          <w:b w:val="0"/>
          <w:bCs w:val="0"/>
          <w:sz w:val="32"/>
          <w:szCs w:val="32"/>
        </w:rPr>
        <w:t>——建设人才培训基地，与山东交院等学校合作，建设现代物流产业学院，开展物流人才培训等服务。</w:t>
      </w:r>
    </w:p>
    <w:p>
      <w:pPr>
        <w:pStyle w:val="6"/>
        <w:keepNext w:val="0"/>
        <w:keepLines w:val="0"/>
        <w:widowControl/>
        <w:suppressLineNumbers w:val="0"/>
        <w:spacing w:before="0" w:beforeAutospacing="0" w:after="0" w:afterAutospacing="0" w:line="420" w:lineRule="atLeast"/>
        <w:ind w:left="0" w:right="0"/>
        <w:jc w:val="center"/>
        <w:rPr>
          <w:sz w:val="32"/>
          <w:szCs w:val="32"/>
        </w:rPr>
      </w:pPr>
      <w:r>
        <w:rPr>
          <w:color w:val="auto"/>
          <w:sz w:val="32"/>
          <w:szCs w:val="32"/>
          <w:u w:val="none"/>
          <w:bdr w:val="none" w:color="auto" w:sz="0" w:space="0"/>
        </w:rPr>
        <w:drawing>
          <wp:inline distT="0" distB="0" distL="114300" distR="114300">
            <wp:extent cx="4762500" cy="3943350"/>
            <wp:effectExtent l="0" t="0" r="0" b="0"/>
            <wp:docPr id="3" name="图片 22" descr="Y`N8Y%4V9[447X6(33]OBAD.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2" descr="Y`N8Y%4V9[447X6(33]OBAD.png"/>
                    <pic:cNvPicPr>
                      <a:picLocks noChangeAspect="1"/>
                    </pic:cNvPicPr>
                  </pic:nvPicPr>
                  <pic:blipFill>
                    <a:blip r:embed="rId48"/>
                    <a:stretch>
                      <a:fillRect/>
                    </a:stretch>
                  </pic:blipFill>
                  <pic:spPr>
                    <a:xfrm>
                      <a:off x="0" y="0"/>
                      <a:ext cx="4762500" cy="3943350"/>
                    </a:xfrm>
                    <a:prstGeom prst="rect">
                      <a:avLst/>
                    </a:prstGeom>
                    <a:noFill/>
                    <a:ln w="9525">
                      <a:noFill/>
                    </a:ln>
                  </pic:spPr>
                </pic:pic>
              </a:graphicData>
            </a:graphic>
          </wp:inline>
        </w:drawing>
      </w:r>
    </w:p>
    <w:p>
      <w:pPr>
        <w:pStyle w:val="6"/>
        <w:keepNext w:val="0"/>
        <w:keepLines w:val="0"/>
        <w:widowControl/>
        <w:suppressLineNumbers w:val="0"/>
        <w:spacing w:before="165" w:beforeAutospacing="0" w:after="0" w:afterAutospacing="0" w:line="360" w:lineRule="atLeast"/>
        <w:ind w:left="450" w:right="480"/>
        <w:jc w:val="both"/>
        <w:outlineLvl w:val="0"/>
        <w:rPr>
          <w:sz w:val="32"/>
          <w:szCs w:val="32"/>
        </w:rPr>
      </w:pPr>
      <w:bookmarkStart w:id="27" w:name="_Toc21031"/>
      <w:r>
        <w:rPr>
          <w:rFonts w:hint="default" w:ascii="仿宋_GB2312" w:eastAsia="仿宋_GB2312" w:cs="仿宋_GB2312"/>
          <w:b w:val="0"/>
          <w:bCs w:val="0"/>
          <w:sz w:val="32"/>
          <w:szCs w:val="32"/>
        </w:rPr>
        <w:t>四、行业及财务分析</w:t>
      </w:r>
      <w:bookmarkEnd w:id="27"/>
    </w:p>
    <w:p>
      <w:pPr>
        <w:pStyle w:val="3"/>
        <w:keepNext w:val="0"/>
        <w:keepLines w:val="0"/>
        <w:widowControl/>
        <w:suppressLineNumbers w:val="0"/>
        <w:spacing w:before="165" w:beforeAutospacing="0" w:after="0" w:afterAutospacing="0" w:line="360" w:lineRule="atLeast"/>
        <w:ind w:left="0" w:right="30"/>
        <w:jc w:val="left"/>
        <w:rPr>
          <w:sz w:val="32"/>
          <w:szCs w:val="32"/>
        </w:rPr>
      </w:pPr>
      <w:r>
        <w:rPr>
          <w:b w:val="0"/>
          <w:bCs w:val="0"/>
          <w:sz w:val="32"/>
          <w:szCs w:val="32"/>
        </w:rPr>
        <w:t>  </w:t>
      </w:r>
      <w:r>
        <w:rPr>
          <w:rFonts w:hint="default" w:ascii="仿宋_GB2312" w:eastAsia="仿宋_GB2312" w:cs="仿宋_GB2312"/>
          <w:b w:val="0"/>
          <w:bCs w:val="0"/>
          <w:sz w:val="32"/>
          <w:szCs w:val="32"/>
        </w:rPr>
        <w:t>项目主要经济数据及评价指标表</w:t>
      </w:r>
    </w:p>
    <w:p>
      <w:pPr>
        <w:pStyle w:val="6"/>
        <w:keepNext w:val="0"/>
        <w:keepLines w:val="0"/>
        <w:widowControl/>
        <w:suppressLineNumbers w:val="0"/>
        <w:spacing w:before="0" w:beforeAutospacing="0" w:after="0" w:afterAutospacing="0" w:line="360" w:lineRule="atLeast"/>
        <w:ind w:left="0" w:right="0"/>
        <w:jc w:val="center"/>
        <w:rPr>
          <w:sz w:val="32"/>
          <w:szCs w:val="32"/>
        </w:rPr>
      </w:pPr>
      <w:r>
        <w:rPr>
          <w:sz w:val="32"/>
          <w:szCs w:val="32"/>
        </w:rPr>
        <w:drawing>
          <wp:inline distT="0" distB="0" distL="114300" distR="114300">
            <wp:extent cx="5981700" cy="5133975"/>
            <wp:effectExtent l="0" t="0" r="0" b="9525"/>
            <wp:docPr id="5" name="图片 23"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3" descr="IMG_277"/>
                    <pic:cNvPicPr>
                      <a:picLocks noChangeAspect="1"/>
                    </pic:cNvPicPr>
                  </pic:nvPicPr>
                  <pic:blipFill>
                    <a:blip r:embed="rId49"/>
                    <a:stretch>
                      <a:fillRect/>
                    </a:stretch>
                  </pic:blipFill>
                  <pic:spPr>
                    <a:xfrm>
                      <a:off x="0" y="0"/>
                      <a:ext cx="5981700" cy="5133975"/>
                    </a:xfrm>
                    <a:prstGeom prst="rect">
                      <a:avLst/>
                    </a:prstGeom>
                    <a:noFill/>
                    <a:ln w="9525">
                      <a:noFill/>
                    </a:ln>
                  </pic:spPr>
                </pic:pic>
              </a:graphicData>
            </a:graphic>
          </wp:inline>
        </w:drawing>
      </w:r>
      <w:r>
        <w:rPr>
          <w:rFonts w:hint="eastAsia" w:ascii="宋体" w:hAnsi="宋体" w:eastAsia="宋体" w:cs="宋体"/>
          <w:b w:val="0"/>
          <w:bCs w:val="0"/>
          <w:sz w:val="32"/>
          <w:szCs w:val="32"/>
        </w:rPr>
        <w:t> </w:t>
      </w:r>
    </w:p>
    <w:p>
      <w:pPr>
        <w:pStyle w:val="6"/>
        <w:keepNext w:val="0"/>
        <w:keepLines w:val="0"/>
        <w:widowControl/>
        <w:suppressLineNumbers w:val="0"/>
        <w:spacing w:before="165" w:beforeAutospacing="0" w:after="0" w:afterAutospacing="0" w:line="360" w:lineRule="atLeast"/>
        <w:ind w:left="450" w:right="480"/>
        <w:jc w:val="both"/>
        <w:rPr>
          <w:sz w:val="32"/>
          <w:szCs w:val="32"/>
        </w:rPr>
      </w:pPr>
    </w:p>
    <w:p>
      <w:pPr>
        <w:pStyle w:val="6"/>
        <w:keepNext w:val="0"/>
        <w:keepLines w:val="0"/>
        <w:widowControl/>
        <w:suppressLineNumbers w:val="0"/>
        <w:spacing w:before="165" w:beforeAutospacing="0" w:after="0" w:afterAutospacing="0" w:line="360" w:lineRule="atLeast"/>
        <w:ind w:left="450" w:right="480"/>
        <w:jc w:val="both"/>
        <w:rPr>
          <w:sz w:val="32"/>
          <w:szCs w:val="32"/>
        </w:rPr>
      </w:pPr>
    </w:p>
    <w:p>
      <w:pPr>
        <w:pStyle w:val="6"/>
        <w:keepNext w:val="0"/>
        <w:keepLines w:val="0"/>
        <w:widowControl/>
        <w:suppressLineNumbers w:val="0"/>
        <w:spacing w:before="90" w:beforeAutospacing="0" w:after="0" w:afterAutospacing="0" w:line="360" w:lineRule="atLeast"/>
        <w:ind w:left="0" w:right="255" w:firstLine="645"/>
        <w:jc w:val="both"/>
        <w:rPr>
          <w:sz w:val="32"/>
          <w:szCs w:val="32"/>
        </w:rPr>
      </w:pPr>
      <w:r>
        <w:rPr>
          <w:rFonts w:hint="default" w:ascii="仿宋_GB2312" w:eastAsia="仿宋_GB2312" w:cs="仿宋_GB2312"/>
          <w:sz w:val="32"/>
          <w:szCs w:val="32"/>
        </w:rPr>
        <w:t>经过测算，本项目所得税后的项目投资财务内部收益率（</w:t>
      </w:r>
      <w:r>
        <w:rPr>
          <w:rFonts w:hint="eastAsia" w:ascii="宋体" w:hAnsi="宋体" w:eastAsia="宋体" w:cs="宋体"/>
          <w:sz w:val="32"/>
          <w:szCs w:val="32"/>
        </w:rPr>
        <w:t>FIRR</w:t>
      </w:r>
      <w:r>
        <w:rPr>
          <w:rFonts w:hint="default" w:ascii="仿宋_GB2312" w:eastAsia="仿宋_GB2312" w:cs="仿宋_GB2312"/>
          <w:sz w:val="32"/>
          <w:szCs w:val="32"/>
        </w:rPr>
        <w:t>）</w:t>
      </w:r>
      <w:r>
        <w:rPr>
          <w:rFonts w:hint="default" w:ascii="仿宋_GB2312" w:eastAsia="仿宋_GB2312" w:cs="仿宋_GB2312"/>
          <w:spacing w:val="-15"/>
          <w:sz w:val="32"/>
          <w:szCs w:val="32"/>
        </w:rPr>
        <w:t>为</w:t>
      </w:r>
      <w:r>
        <w:rPr>
          <w:sz w:val="32"/>
          <w:szCs w:val="32"/>
        </w:rPr>
        <w:t> </w:t>
      </w:r>
      <w:r>
        <w:rPr>
          <w:rFonts w:hint="eastAsia" w:ascii="宋体" w:hAnsi="宋体" w:eastAsia="宋体" w:cs="宋体"/>
          <w:sz w:val="32"/>
          <w:szCs w:val="32"/>
        </w:rPr>
        <w:t>10.83%</w:t>
      </w:r>
      <w:r>
        <w:rPr>
          <w:rFonts w:hint="default" w:ascii="仿宋_GB2312" w:eastAsia="仿宋_GB2312" w:cs="仿宋_GB2312"/>
          <w:sz w:val="32"/>
          <w:szCs w:val="32"/>
        </w:rPr>
        <w:t>，本项目在</w:t>
      </w:r>
      <w:r>
        <w:rPr>
          <w:rFonts w:hint="default" w:ascii="仿宋_GB2312" w:eastAsia="仿宋_GB2312" w:cs="仿宋_GB2312"/>
          <w:spacing w:val="0"/>
          <w:sz w:val="32"/>
          <w:szCs w:val="32"/>
        </w:rPr>
        <w:t>财务上可以被接受；所得税后投资回收期</w:t>
      </w:r>
      <w:r>
        <w:rPr>
          <w:rFonts w:hint="default" w:ascii="仿宋_GB2312" w:eastAsia="仿宋_GB2312" w:cs="仿宋_GB2312"/>
          <w:sz w:val="32"/>
          <w:szCs w:val="32"/>
        </w:rPr>
        <w:t>（</w:t>
      </w:r>
      <w:r>
        <w:rPr>
          <w:rFonts w:hint="eastAsia" w:ascii="宋体" w:hAnsi="宋体" w:eastAsia="宋体" w:cs="宋体"/>
          <w:sz w:val="32"/>
          <w:szCs w:val="32"/>
        </w:rPr>
        <w:t>Pt</w:t>
      </w:r>
      <w:r>
        <w:rPr>
          <w:rFonts w:hint="default" w:ascii="仿宋_GB2312" w:eastAsia="仿宋_GB2312" w:cs="仿宋_GB2312"/>
          <w:sz w:val="32"/>
          <w:szCs w:val="32"/>
        </w:rPr>
        <w:t>）</w:t>
      </w:r>
      <w:r>
        <w:rPr>
          <w:rFonts w:hint="default" w:ascii="仿宋_GB2312" w:eastAsia="仿宋_GB2312" w:cs="仿宋_GB2312"/>
          <w:spacing w:val="-30"/>
          <w:sz w:val="32"/>
          <w:szCs w:val="32"/>
        </w:rPr>
        <w:t>为</w:t>
      </w:r>
      <w:r>
        <w:rPr>
          <w:sz w:val="32"/>
          <w:szCs w:val="32"/>
        </w:rPr>
        <w:t> </w:t>
      </w:r>
      <w:r>
        <w:rPr>
          <w:rFonts w:hint="eastAsia" w:ascii="宋体" w:hAnsi="宋体" w:eastAsia="宋体" w:cs="宋体"/>
          <w:sz w:val="32"/>
          <w:szCs w:val="32"/>
        </w:rPr>
        <w:t>7.16 </w:t>
      </w:r>
      <w:r>
        <w:rPr>
          <w:rFonts w:hint="default" w:ascii="仿宋_GB2312" w:eastAsia="仿宋_GB2312" w:cs="仿宋_GB2312"/>
          <w:spacing w:val="0"/>
          <w:sz w:val="32"/>
          <w:szCs w:val="32"/>
        </w:rPr>
        <w:t>年，在投资方设定的期限内，项目能</w:t>
      </w:r>
      <w:r>
        <w:rPr>
          <w:rFonts w:hint="default" w:ascii="仿宋_GB2312" w:eastAsia="仿宋_GB2312" w:cs="仿宋_GB2312"/>
          <w:sz w:val="32"/>
          <w:szCs w:val="32"/>
        </w:rPr>
        <w:t>较快收回投资。</w:t>
      </w:r>
    </w:p>
    <w:p>
      <w:pPr>
        <w:pStyle w:val="6"/>
        <w:keepNext w:val="0"/>
        <w:keepLines w:val="0"/>
        <w:widowControl/>
        <w:suppressLineNumbers w:val="0"/>
        <w:spacing w:before="90" w:beforeAutospacing="0" w:after="0" w:afterAutospacing="0" w:line="360" w:lineRule="atLeast"/>
        <w:ind w:left="0" w:right="255" w:firstLine="645"/>
        <w:jc w:val="both"/>
        <w:outlineLvl w:val="1"/>
        <w:rPr>
          <w:sz w:val="32"/>
          <w:szCs w:val="32"/>
        </w:rPr>
      </w:pPr>
      <w:bookmarkStart w:id="28" w:name="_Toc15980"/>
      <w:r>
        <w:rPr>
          <w:rFonts w:hint="eastAsia" w:ascii="楷体" w:hAnsi="楷体" w:eastAsia="楷体" w:cs="楷体"/>
          <w:sz w:val="32"/>
          <w:szCs w:val="32"/>
        </w:rPr>
        <w:t>（一）不确定性分析</w:t>
      </w:r>
      <w:bookmarkEnd w:id="28"/>
    </w:p>
    <w:p>
      <w:pPr>
        <w:pStyle w:val="3"/>
        <w:keepNext w:val="0"/>
        <w:keepLines w:val="0"/>
        <w:widowControl/>
        <w:suppressLineNumbers w:val="0"/>
        <w:spacing w:before="0" w:beforeAutospacing="0" w:after="0" w:afterAutospacing="0" w:line="360" w:lineRule="atLeast"/>
        <w:ind w:left="0" w:right="0" w:firstLine="645"/>
        <w:rPr>
          <w:sz w:val="32"/>
          <w:szCs w:val="32"/>
        </w:rPr>
      </w:pPr>
      <w:r>
        <w:rPr>
          <w:b w:val="0"/>
          <w:bCs w:val="0"/>
          <w:sz w:val="32"/>
          <w:szCs w:val="32"/>
        </w:rPr>
        <w:t>1.</w:t>
      </w:r>
      <w:r>
        <w:rPr>
          <w:rFonts w:hint="default" w:ascii="仿宋_GB2312" w:eastAsia="仿宋_GB2312" w:cs="仿宋_GB2312"/>
          <w:b w:val="0"/>
          <w:bCs w:val="0"/>
          <w:sz w:val="32"/>
          <w:szCs w:val="32"/>
        </w:rPr>
        <w:t>敏感性分析</w:t>
      </w:r>
    </w:p>
    <w:p>
      <w:pPr>
        <w:pStyle w:val="6"/>
        <w:keepNext w:val="0"/>
        <w:keepLines w:val="0"/>
        <w:widowControl/>
        <w:suppressLineNumbers w:val="0"/>
        <w:spacing w:before="0" w:beforeAutospacing="0" w:after="0" w:afterAutospacing="0" w:line="420" w:lineRule="atLeast"/>
        <w:ind w:left="0" w:right="0"/>
        <w:rPr>
          <w:sz w:val="32"/>
          <w:szCs w:val="32"/>
        </w:rPr>
      </w:pPr>
      <w:r>
        <w:rPr>
          <w:rFonts w:hint="default" w:ascii="仿宋_GB2312" w:eastAsia="仿宋_GB2312" w:cs="仿宋_GB2312"/>
          <w:sz w:val="32"/>
          <w:szCs w:val="32"/>
        </w:rPr>
        <w:t>       本项目对所得税前全部投资作了敏感性分析，考虑到项目在实施过程中的一些不利因素</w:t>
      </w:r>
      <w:r>
        <w:rPr>
          <w:rFonts w:hint="default" w:ascii="仿宋_GB2312" w:eastAsia="仿宋_GB2312" w:cs="仿宋_GB2312"/>
          <w:spacing w:val="0"/>
          <w:sz w:val="32"/>
          <w:szCs w:val="32"/>
        </w:rPr>
        <w:t>的变化，分别对固定资产投资、经营成本、营业收入作了提高</w:t>
      </w:r>
      <w:r>
        <w:rPr>
          <w:rFonts w:hint="eastAsia" w:ascii="宋体" w:hAnsi="宋体" w:eastAsia="宋体" w:cs="宋体"/>
          <w:sz w:val="32"/>
          <w:szCs w:val="32"/>
        </w:rPr>
        <w:t>5%</w:t>
      </w:r>
      <w:r>
        <w:rPr>
          <w:rFonts w:hint="default" w:ascii="仿宋_GB2312" w:eastAsia="仿宋_GB2312" w:cs="仿宋_GB2312"/>
          <w:spacing w:val="-15"/>
          <w:sz w:val="32"/>
          <w:szCs w:val="32"/>
        </w:rPr>
        <w:t>和</w:t>
      </w:r>
      <w:r>
        <w:rPr>
          <w:sz w:val="32"/>
          <w:szCs w:val="32"/>
        </w:rPr>
        <w:t> </w:t>
      </w:r>
      <w:r>
        <w:rPr>
          <w:rFonts w:hint="default" w:ascii="仿宋_GB2312" w:eastAsia="仿宋_GB2312" w:cs="仿宋_GB2312"/>
          <w:spacing w:val="-15"/>
          <w:sz w:val="32"/>
          <w:szCs w:val="32"/>
        </w:rPr>
        <w:t>降低</w:t>
      </w:r>
      <w:r>
        <w:rPr>
          <w:sz w:val="32"/>
          <w:szCs w:val="32"/>
        </w:rPr>
        <w:t> </w:t>
      </w:r>
      <w:r>
        <w:rPr>
          <w:rFonts w:hint="eastAsia" w:ascii="宋体" w:hAnsi="宋体" w:eastAsia="宋体" w:cs="宋体"/>
          <w:sz w:val="32"/>
          <w:szCs w:val="32"/>
        </w:rPr>
        <w:t>5%</w:t>
      </w:r>
      <w:r>
        <w:rPr>
          <w:rFonts w:hint="default" w:ascii="仿宋_GB2312" w:eastAsia="仿宋_GB2312" w:cs="仿宋_GB2312"/>
          <w:spacing w:val="0"/>
          <w:sz w:val="32"/>
          <w:szCs w:val="32"/>
        </w:rPr>
        <w:t>的单因素变化，对</w:t>
      </w:r>
      <w:r>
        <w:rPr>
          <w:rFonts w:hint="default" w:ascii="仿宋_GB2312" w:eastAsia="仿宋_GB2312" w:cs="仿宋_GB2312"/>
          <w:sz w:val="32"/>
          <w:szCs w:val="32"/>
        </w:rPr>
        <w:t>财务内部收益率、投资回收期影响进行了敏感性分析。</w:t>
      </w:r>
    </w:p>
    <w:p>
      <w:pPr>
        <w:pStyle w:val="6"/>
        <w:keepNext w:val="0"/>
        <w:keepLines w:val="0"/>
        <w:widowControl/>
        <w:suppressLineNumbers w:val="0"/>
        <w:spacing w:before="165" w:beforeAutospacing="0" w:after="0" w:afterAutospacing="0" w:line="360" w:lineRule="atLeast"/>
        <w:ind w:left="450" w:right="480"/>
        <w:jc w:val="center"/>
        <w:rPr>
          <w:sz w:val="32"/>
          <w:szCs w:val="32"/>
        </w:rPr>
      </w:pPr>
      <w:r>
        <w:rPr>
          <w:color w:val="auto"/>
          <w:sz w:val="32"/>
          <w:szCs w:val="32"/>
          <w:u w:val="none"/>
          <w:bdr w:val="none" w:color="auto" w:sz="0" w:space="0"/>
        </w:rPr>
        <w:drawing>
          <wp:inline distT="0" distB="0" distL="114300" distR="114300">
            <wp:extent cx="4762500" cy="3114675"/>
            <wp:effectExtent l="0" t="0" r="0" b="9525"/>
            <wp:docPr id="8" name="图片 24" descr="1.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4" descr="1.jpg"/>
                    <pic:cNvPicPr>
                      <a:picLocks noChangeAspect="1"/>
                    </pic:cNvPicPr>
                  </pic:nvPicPr>
                  <pic:blipFill>
                    <a:blip r:embed="rId51"/>
                    <a:stretch>
                      <a:fillRect/>
                    </a:stretch>
                  </pic:blipFill>
                  <pic:spPr>
                    <a:xfrm>
                      <a:off x="0" y="0"/>
                      <a:ext cx="4762500" cy="3114675"/>
                    </a:xfrm>
                    <a:prstGeom prst="rect">
                      <a:avLst/>
                    </a:prstGeom>
                    <a:noFill/>
                    <a:ln w="9525">
                      <a:noFill/>
                    </a:ln>
                  </pic:spPr>
                </pic:pic>
              </a:graphicData>
            </a:graphic>
          </wp:inline>
        </w:drawing>
      </w:r>
    </w:p>
    <w:p>
      <w:pPr>
        <w:pStyle w:val="3"/>
        <w:keepNext w:val="0"/>
        <w:keepLines w:val="0"/>
        <w:widowControl/>
        <w:suppressLineNumbers w:val="0"/>
        <w:spacing w:line="360" w:lineRule="atLeast"/>
        <w:ind w:left="0" w:firstLine="645"/>
        <w:rPr>
          <w:sz w:val="32"/>
          <w:szCs w:val="32"/>
        </w:rPr>
      </w:pPr>
      <w:r>
        <w:rPr>
          <w:b w:val="0"/>
          <w:bCs w:val="0"/>
          <w:sz w:val="32"/>
          <w:szCs w:val="32"/>
        </w:rPr>
        <w:t>2.</w:t>
      </w:r>
      <w:r>
        <w:rPr>
          <w:rFonts w:hint="default" w:ascii="仿宋_GB2312" w:eastAsia="仿宋_GB2312" w:cs="仿宋_GB2312"/>
          <w:b w:val="0"/>
          <w:bCs w:val="0"/>
          <w:sz w:val="32"/>
          <w:szCs w:val="32"/>
        </w:rPr>
        <w:t>盈亏平衡分析</w:t>
      </w:r>
    </w:p>
    <w:p>
      <w:pPr>
        <w:pStyle w:val="6"/>
        <w:keepNext w:val="0"/>
        <w:keepLines w:val="0"/>
        <w:widowControl/>
        <w:suppressLineNumbers w:val="0"/>
        <w:spacing w:before="60" w:beforeAutospacing="0" w:after="0" w:afterAutospacing="0" w:line="360" w:lineRule="atLeast"/>
        <w:ind w:left="0" w:right="0" w:firstLine="645"/>
        <w:rPr>
          <w:sz w:val="32"/>
          <w:szCs w:val="32"/>
        </w:rPr>
      </w:pPr>
      <w:r>
        <w:rPr>
          <w:rFonts w:hint="default" w:ascii="仿宋_GB2312" w:eastAsia="仿宋_GB2312" w:cs="仿宋_GB2312"/>
          <w:b w:val="0"/>
          <w:bCs w:val="0"/>
          <w:sz w:val="32"/>
          <w:szCs w:val="32"/>
        </w:rPr>
        <w:t>以生产能力利用率表示盈亏平衡点（</w:t>
      </w:r>
      <w:r>
        <w:rPr>
          <w:rFonts w:hint="eastAsia" w:ascii="宋体" w:hAnsi="宋体" w:eastAsia="宋体" w:cs="宋体"/>
          <w:b w:val="0"/>
          <w:bCs w:val="0"/>
          <w:sz w:val="32"/>
          <w:szCs w:val="32"/>
        </w:rPr>
        <w:t>BEP</w:t>
      </w:r>
      <w:r>
        <w:rPr>
          <w:rFonts w:hint="default" w:ascii="仿宋_GB2312" w:eastAsia="仿宋_GB2312" w:cs="仿宋_GB2312"/>
          <w:b w:val="0"/>
          <w:bCs w:val="0"/>
          <w:sz w:val="32"/>
          <w:szCs w:val="32"/>
        </w:rPr>
        <w:t>）其公式：</w:t>
      </w:r>
    </w:p>
    <w:p>
      <w:pPr>
        <w:pStyle w:val="6"/>
        <w:keepNext w:val="0"/>
        <w:keepLines w:val="0"/>
        <w:widowControl/>
        <w:suppressLineNumbers w:val="0"/>
        <w:spacing w:before="75" w:beforeAutospacing="0" w:after="0" w:afterAutospacing="0" w:line="315" w:lineRule="atLeast"/>
        <w:ind w:left="450" w:right="1905"/>
        <w:jc w:val="center"/>
        <w:rPr>
          <w:sz w:val="32"/>
          <w:szCs w:val="32"/>
        </w:rPr>
      </w:pPr>
    </w:p>
    <w:p>
      <w:pPr>
        <w:pStyle w:val="6"/>
        <w:keepNext w:val="0"/>
        <w:keepLines w:val="0"/>
        <w:widowControl/>
        <w:suppressLineNumbers w:val="0"/>
        <w:spacing w:before="75" w:beforeAutospacing="0" w:after="0" w:afterAutospacing="0" w:line="315" w:lineRule="atLeast"/>
        <w:ind w:left="450" w:right="1905"/>
        <w:rPr>
          <w:sz w:val="32"/>
          <w:szCs w:val="32"/>
        </w:rPr>
      </w:pPr>
      <w:r>
        <w:rPr>
          <w:color w:val="auto"/>
          <w:sz w:val="32"/>
          <w:szCs w:val="32"/>
          <w:u w:val="none"/>
          <w:bdr w:val="none" w:color="auto" w:sz="0" w:space="0"/>
        </w:rPr>
        <w:drawing>
          <wp:inline distT="0" distB="0" distL="114300" distR="114300">
            <wp:extent cx="4476750" cy="1381125"/>
            <wp:effectExtent l="0" t="0" r="0" b="9525"/>
            <wp:docPr id="2" name="图片 25" descr="C%9IA)%18PPQPTBMX{6($IY.pn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5" descr="C%9IA)%18PPQPTBMX{6($IY.png"/>
                    <pic:cNvPicPr>
                      <a:picLocks noChangeAspect="1"/>
                    </pic:cNvPicPr>
                  </pic:nvPicPr>
                  <pic:blipFill>
                    <a:blip r:embed="rId53"/>
                    <a:stretch>
                      <a:fillRect/>
                    </a:stretch>
                  </pic:blipFill>
                  <pic:spPr>
                    <a:xfrm>
                      <a:off x="0" y="0"/>
                      <a:ext cx="4476750" cy="1381125"/>
                    </a:xfrm>
                    <a:prstGeom prst="rect">
                      <a:avLst/>
                    </a:prstGeom>
                    <a:noFill/>
                    <a:ln w="9525">
                      <a:noFill/>
                    </a:ln>
                  </pic:spPr>
                </pic:pic>
              </a:graphicData>
            </a:graphic>
          </wp:inline>
        </w:drawing>
      </w:r>
    </w:p>
    <w:p>
      <w:pPr>
        <w:pStyle w:val="6"/>
        <w:keepNext w:val="0"/>
        <w:keepLines w:val="0"/>
        <w:widowControl/>
        <w:suppressLineNumbers w:val="0"/>
        <w:spacing w:before="0" w:beforeAutospacing="0" w:after="0" w:afterAutospacing="0" w:line="360" w:lineRule="atLeast"/>
        <w:ind w:left="0" w:right="240" w:firstLine="615"/>
        <w:jc w:val="left"/>
        <w:rPr>
          <w:sz w:val="32"/>
          <w:szCs w:val="32"/>
        </w:rPr>
      </w:pPr>
      <w:r>
        <w:rPr>
          <w:rFonts w:hint="default" w:ascii="仿宋_GB2312" w:eastAsia="仿宋_GB2312" w:cs="仿宋_GB2312"/>
          <w:b w:val="0"/>
          <w:bCs w:val="0"/>
          <w:spacing w:val="0"/>
          <w:sz w:val="32"/>
          <w:szCs w:val="32"/>
        </w:rPr>
        <w:t>计算结果表明，本项目的物流运营规模达到设计能力的</w:t>
      </w:r>
      <w:r>
        <w:rPr>
          <w:rFonts w:hint="eastAsia" w:ascii="宋体" w:hAnsi="宋体" w:eastAsia="宋体" w:cs="宋体"/>
          <w:b w:val="0"/>
          <w:bCs w:val="0"/>
          <w:spacing w:val="0"/>
          <w:sz w:val="32"/>
          <w:szCs w:val="32"/>
        </w:rPr>
        <w:t>76.36%</w:t>
      </w:r>
      <w:r>
        <w:rPr>
          <w:rFonts w:hint="default" w:ascii="仿宋_GB2312" w:eastAsia="仿宋_GB2312" w:cs="仿宋_GB2312"/>
          <w:b w:val="0"/>
          <w:bCs w:val="0"/>
          <w:spacing w:val="-15"/>
          <w:sz w:val="32"/>
          <w:szCs w:val="32"/>
        </w:rPr>
        <w:t>，企业可保本，本项目有</w:t>
      </w:r>
      <w:r>
        <w:rPr>
          <w:rFonts w:hint="default" w:ascii="仿宋_GB2312" w:eastAsia="仿宋_GB2312" w:cs="仿宋_GB2312"/>
          <w:b w:val="0"/>
          <w:bCs w:val="0"/>
          <w:sz w:val="32"/>
          <w:szCs w:val="32"/>
        </w:rPr>
        <w:t>一定的抗风险性。</w:t>
      </w:r>
    </w:p>
    <w:p>
      <w:pPr>
        <w:pStyle w:val="2"/>
        <w:keepNext w:val="0"/>
        <w:keepLines w:val="0"/>
        <w:widowControl/>
        <w:suppressLineNumbers w:val="0"/>
        <w:spacing w:before="0" w:beforeAutospacing="0" w:after="0" w:afterAutospacing="0" w:line="540" w:lineRule="atLeast"/>
        <w:ind w:left="0" w:right="0" w:firstLine="645"/>
        <w:jc w:val="left"/>
        <w:rPr>
          <w:rFonts w:hint="default" w:ascii="Times New Roman" w:hAnsi="Times New Roman" w:cs="Times New Roman"/>
          <w:sz w:val="32"/>
          <w:szCs w:val="32"/>
        </w:rPr>
      </w:pPr>
      <w:bookmarkStart w:id="29" w:name="_Toc12257"/>
      <w:r>
        <w:rPr>
          <w:rFonts w:hint="eastAsia" w:ascii="楷体" w:hAnsi="楷体" w:eastAsia="楷体" w:cs="楷体"/>
          <w:b w:val="0"/>
          <w:bCs w:val="0"/>
          <w:sz w:val="32"/>
          <w:szCs w:val="32"/>
        </w:rPr>
        <w:t>（二）财务评价结论</w:t>
      </w:r>
      <w:bookmarkEnd w:id="29"/>
    </w:p>
    <w:p>
      <w:pPr>
        <w:pStyle w:val="6"/>
        <w:keepNext w:val="0"/>
        <w:keepLines w:val="0"/>
        <w:widowControl/>
        <w:suppressLineNumbers w:val="0"/>
        <w:spacing w:before="0" w:beforeAutospacing="0" w:after="0" w:afterAutospacing="0" w:line="360" w:lineRule="atLeast"/>
        <w:ind w:left="0" w:right="255" w:firstLine="645"/>
        <w:jc w:val="left"/>
        <w:rPr>
          <w:sz w:val="32"/>
          <w:szCs w:val="32"/>
        </w:rPr>
      </w:pPr>
      <w:r>
        <w:rPr>
          <w:rFonts w:hint="default" w:ascii="仿宋_GB2312" w:eastAsia="仿宋_GB2312" w:cs="仿宋_GB2312"/>
          <w:b w:val="0"/>
          <w:bCs w:val="0"/>
          <w:sz w:val="32"/>
          <w:szCs w:val="32"/>
        </w:rPr>
        <w:t>由以上财务评价可以看出，本项目投资利润率及投资利税率均大于行业利润率和平均利税率，说明单位投资对国家的贡献水平达到了本行业的平均水平。</w:t>
      </w:r>
    </w:p>
    <w:p>
      <w:pPr>
        <w:pStyle w:val="6"/>
        <w:keepNext w:val="0"/>
        <w:keepLines w:val="0"/>
        <w:widowControl/>
        <w:suppressLineNumbers w:val="0"/>
        <w:spacing w:before="0" w:beforeAutospacing="0" w:after="0" w:afterAutospacing="0" w:line="360" w:lineRule="atLeast"/>
        <w:ind w:left="0" w:right="135" w:firstLine="615"/>
        <w:jc w:val="both"/>
        <w:rPr>
          <w:sz w:val="32"/>
          <w:szCs w:val="32"/>
        </w:rPr>
      </w:pPr>
      <w:r>
        <w:rPr>
          <w:rFonts w:hint="default" w:ascii="仿宋_GB2312" w:eastAsia="仿宋_GB2312" w:cs="仿宋_GB2312"/>
          <w:b w:val="0"/>
          <w:bCs w:val="0"/>
          <w:spacing w:val="0"/>
          <w:sz w:val="32"/>
          <w:szCs w:val="32"/>
        </w:rPr>
        <w:t>项目税后投资回收期为</w:t>
      </w:r>
      <w:r>
        <w:rPr>
          <w:rFonts w:hint="eastAsia" w:ascii="宋体" w:hAnsi="宋体" w:eastAsia="宋体" w:cs="宋体"/>
          <w:b w:val="0"/>
          <w:bCs w:val="0"/>
          <w:sz w:val="32"/>
          <w:szCs w:val="32"/>
        </w:rPr>
        <w:t>7.16</w:t>
      </w:r>
      <w:r>
        <w:rPr>
          <w:rFonts w:hint="default" w:ascii="仿宋_GB2312" w:eastAsia="仿宋_GB2312" w:cs="仿宋_GB2312"/>
          <w:b w:val="0"/>
          <w:bCs w:val="0"/>
          <w:spacing w:val="-15"/>
          <w:sz w:val="32"/>
          <w:szCs w:val="32"/>
        </w:rPr>
        <w:t>年，低于行业基准投资回收期，这表明项目投资能按时收回，盈亏平衡点为</w:t>
      </w:r>
      <w:r>
        <w:rPr>
          <w:rFonts w:hint="eastAsia" w:ascii="宋体" w:hAnsi="宋体" w:eastAsia="宋体" w:cs="宋体"/>
          <w:b w:val="0"/>
          <w:bCs w:val="0"/>
          <w:spacing w:val="0"/>
          <w:sz w:val="32"/>
          <w:szCs w:val="32"/>
        </w:rPr>
        <w:t>76.36%</w:t>
      </w:r>
      <w:r>
        <w:rPr>
          <w:rFonts w:hint="default" w:ascii="仿宋_GB2312" w:eastAsia="仿宋_GB2312" w:cs="仿宋_GB2312"/>
          <w:b w:val="0"/>
          <w:bCs w:val="0"/>
          <w:spacing w:val="0"/>
          <w:sz w:val="32"/>
          <w:szCs w:val="32"/>
        </w:rPr>
        <w:t>。从上述财务分析看，项目建设具有一定的盈利能力，从敏感性分析看项目具有一定的抗风险能力，因此项目从财务上讲是可行的。</w:t>
      </w:r>
    </w:p>
    <w:p>
      <w:pPr>
        <w:pStyle w:val="6"/>
        <w:keepNext w:val="0"/>
        <w:keepLines w:val="0"/>
        <w:widowControl/>
        <w:suppressLineNumbers w:val="0"/>
        <w:spacing w:before="165" w:beforeAutospacing="0" w:after="0" w:afterAutospacing="0" w:line="360" w:lineRule="atLeast"/>
        <w:ind w:left="0" w:right="480" w:firstLine="645"/>
        <w:jc w:val="both"/>
        <w:outlineLvl w:val="0"/>
        <w:rPr>
          <w:sz w:val="32"/>
          <w:szCs w:val="32"/>
        </w:rPr>
      </w:pPr>
      <w:bookmarkStart w:id="30" w:name="_Toc30690"/>
      <w:r>
        <w:rPr>
          <w:rFonts w:hint="eastAsia" w:ascii="黑体" w:hAnsi="宋体" w:eastAsia="黑体" w:cs="黑体"/>
          <w:b w:val="0"/>
          <w:bCs w:val="0"/>
          <w:sz w:val="32"/>
          <w:szCs w:val="32"/>
        </w:rPr>
        <w:t>五、合作方式</w:t>
      </w:r>
      <w:bookmarkEnd w:id="30"/>
    </w:p>
    <w:p>
      <w:pPr>
        <w:pStyle w:val="6"/>
        <w:keepNext w:val="0"/>
        <w:keepLines w:val="0"/>
        <w:widowControl/>
        <w:suppressLineNumbers w:val="0"/>
        <w:spacing w:before="165" w:beforeAutospacing="0" w:after="0" w:afterAutospacing="0" w:line="360" w:lineRule="atLeast"/>
        <w:ind w:left="0" w:right="480" w:firstLine="645"/>
        <w:jc w:val="left"/>
        <w:rPr>
          <w:sz w:val="32"/>
          <w:szCs w:val="32"/>
        </w:rPr>
      </w:pPr>
      <w:r>
        <w:rPr>
          <w:rFonts w:hint="default" w:ascii="仿宋_GB2312" w:eastAsia="仿宋_GB2312" w:cs="仿宋_GB2312"/>
          <w:b w:val="0"/>
          <w:bCs w:val="0"/>
          <w:sz w:val="32"/>
          <w:szCs w:val="32"/>
        </w:rPr>
        <w:t>（一）项目类别：新建</w:t>
      </w:r>
    </w:p>
    <w:p>
      <w:pPr>
        <w:pStyle w:val="6"/>
        <w:keepNext w:val="0"/>
        <w:keepLines w:val="0"/>
        <w:widowControl/>
        <w:suppressLineNumbers w:val="0"/>
        <w:spacing w:before="165" w:beforeAutospacing="0" w:after="0" w:afterAutospacing="0" w:line="360" w:lineRule="atLeast"/>
        <w:ind w:left="0" w:right="480" w:firstLine="645"/>
        <w:jc w:val="left"/>
        <w:rPr>
          <w:sz w:val="32"/>
          <w:szCs w:val="32"/>
        </w:rPr>
      </w:pPr>
      <w:r>
        <w:rPr>
          <w:rFonts w:hint="default" w:ascii="仿宋_GB2312" w:eastAsia="仿宋_GB2312" w:cs="仿宋_GB2312"/>
          <w:b w:val="0"/>
          <w:bCs w:val="0"/>
          <w:sz w:val="32"/>
          <w:szCs w:val="32"/>
        </w:rPr>
        <w:t>（二）合作方式：</w:t>
      </w:r>
    </w:p>
    <w:p>
      <w:pPr>
        <w:pStyle w:val="6"/>
        <w:keepNext w:val="0"/>
        <w:keepLines w:val="0"/>
        <w:widowControl/>
        <w:suppressLineNumbers w:val="0"/>
        <w:spacing w:before="165" w:beforeAutospacing="0" w:after="0" w:afterAutospacing="0" w:line="360" w:lineRule="atLeast"/>
        <w:ind w:left="210" w:right="255" w:firstLine="480"/>
        <w:jc w:val="left"/>
        <w:rPr>
          <w:sz w:val="32"/>
          <w:szCs w:val="32"/>
        </w:rPr>
      </w:pPr>
      <w:r>
        <w:rPr>
          <w:rFonts w:hint="default" w:ascii="仿宋_GB2312" w:eastAsia="仿宋_GB2312" w:cs="仿宋_GB2312"/>
          <w:b w:val="0"/>
          <w:bCs w:val="0"/>
          <w:sz w:val="32"/>
          <w:szCs w:val="32"/>
        </w:rPr>
        <w:t>由交运局牵头组建成立的平阴交通与物流发展公司通过自有资金、社会融资及争取上级项目和产业支持资金等渠道筹措。</w:t>
      </w:r>
    </w:p>
    <w:p>
      <w:pPr>
        <w:pStyle w:val="6"/>
        <w:keepNext w:val="0"/>
        <w:keepLines w:val="0"/>
        <w:widowControl/>
        <w:suppressLineNumbers w:val="0"/>
        <w:spacing w:before="165" w:beforeAutospacing="0" w:after="0" w:afterAutospacing="0" w:line="360" w:lineRule="atLeast"/>
        <w:ind w:left="0" w:right="255" w:firstLine="645"/>
        <w:jc w:val="left"/>
        <w:outlineLvl w:val="0"/>
        <w:rPr>
          <w:sz w:val="32"/>
          <w:szCs w:val="32"/>
        </w:rPr>
      </w:pPr>
      <w:bookmarkStart w:id="31" w:name="_Toc19766"/>
      <w:r>
        <w:rPr>
          <w:rFonts w:hint="eastAsia" w:ascii="黑体" w:hAnsi="宋体" w:eastAsia="黑体" w:cs="黑体"/>
          <w:b w:val="0"/>
          <w:bCs w:val="0"/>
          <w:sz w:val="32"/>
          <w:szCs w:val="32"/>
        </w:rPr>
        <w:t>六、联系方式</w:t>
      </w:r>
      <w:bookmarkEnd w:id="31"/>
    </w:p>
    <w:p>
      <w:pPr>
        <w:pStyle w:val="6"/>
        <w:keepNext w:val="0"/>
        <w:keepLines w:val="0"/>
        <w:widowControl/>
        <w:suppressLineNumbers w:val="0"/>
        <w:spacing w:before="165" w:beforeAutospacing="0" w:after="0" w:afterAutospacing="0" w:line="360" w:lineRule="atLeast"/>
        <w:ind w:left="0" w:right="255" w:firstLine="645"/>
        <w:rPr>
          <w:sz w:val="32"/>
          <w:szCs w:val="32"/>
        </w:rPr>
      </w:pPr>
      <w:r>
        <w:rPr>
          <w:rFonts w:hint="default" w:ascii="仿宋_GB2312" w:eastAsia="仿宋_GB2312" w:cs="仿宋_GB2312"/>
          <w:sz w:val="32"/>
          <w:szCs w:val="32"/>
        </w:rPr>
        <w:t>联系人：丁芳      </w:t>
      </w:r>
    </w:p>
    <w:p>
      <w:pPr>
        <w:pStyle w:val="6"/>
        <w:keepNext w:val="0"/>
        <w:keepLines w:val="0"/>
        <w:widowControl/>
        <w:suppressLineNumbers w:val="0"/>
        <w:spacing w:before="165" w:beforeAutospacing="0" w:after="0" w:afterAutospacing="0" w:line="360" w:lineRule="atLeast"/>
        <w:ind w:left="0" w:right="255" w:firstLine="645"/>
        <w:rPr>
          <w:sz w:val="32"/>
          <w:szCs w:val="32"/>
        </w:rPr>
      </w:pPr>
      <w:r>
        <w:rPr>
          <w:rFonts w:hint="default" w:ascii="仿宋_GB2312" w:eastAsia="仿宋_GB2312" w:cs="仿宋_GB2312"/>
          <w:sz w:val="32"/>
          <w:szCs w:val="32"/>
        </w:rPr>
        <w:t>联系电话  </w:t>
      </w:r>
      <w:r>
        <w:rPr>
          <w:rFonts w:hint="eastAsia" w:ascii="宋体" w:hAnsi="宋体" w:eastAsia="宋体" w:cs="宋体"/>
          <w:sz w:val="32"/>
          <w:szCs w:val="32"/>
        </w:rPr>
        <w:t>18560070527</w:t>
      </w:r>
    </w:p>
    <w:p>
      <w:pPr>
        <w:pStyle w:val="6"/>
        <w:keepNext w:val="0"/>
        <w:keepLines w:val="0"/>
        <w:widowControl/>
        <w:suppressLineNumbers w:val="0"/>
        <w:spacing w:before="165" w:beforeAutospacing="0" w:after="0" w:afterAutospacing="0" w:line="360" w:lineRule="atLeast"/>
        <w:ind w:left="0" w:right="255" w:firstLine="555"/>
        <w:rPr>
          <w:sz w:val="32"/>
          <w:szCs w:val="32"/>
        </w:rPr>
      </w:pPr>
      <w:r>
        <w:rPr>
          <w:rFonts w:hint="default" w:ascii="仿宋_GB2312" w:eastAsia="仿宋_GB2312" w:cs="仿宋_GB2312"/>
          <w:sz w:val="32"/>
          <w:szCs w:val="32"/>
        </w:rPr>
        <w:t>电子邮箱：</w:t>
      </w:r>
      <w:r>
        <w:rPr>
          <w:sz w:val="32"/>
          <w:szCs w:val="32"/>
          <w:u w:val="single"/>
        </w:rPr>
        <w:fldChar w:fldCharType="begin"/>
      </w:r>
      <w:r>
        <w:rPr>
          <w:sz w:val="32"/>
          <w:szCs w:val="32"/>
          <w:u w:val="single"/>
        </w:rPr>
        <w:instrText xml:space="preserve"> HYPERLINK "mailto:tcjzsk@126.com" </w:instrText>
      </w:r>
      <w:r>
        <w:rPr>
          <w:sz w:val="32"/>
          <w:szCs w:val="32"/>
          <w:u w:val="single"/>
        </w:rPr>
        <w:fldChar w:fldCharType="separate"/>
      </w:r>
      <w:r>
        <w:rPr>
          <w:rStyle w:val="10"/>
          <w:rFonts w:hint="default" w:ascii="仿宋_GB2312" w:eastAsia="仿宋_GB2312" w:cs="仿宋_GB2312"/>
          <w:sz w:val="32"/>
          <w:szCs w:val="32"/>
          <w:u w:val="single"/>
        </w:rPr>
        <w:t>tcjzsk@126.com</w:t>
      </w:r>
      <w:r>
        <w:rPr>
          <w:sz w:val="32"/>
          <w:szCs w:val="32"/>
          <w:u w:val="single"/>
        </w:rPr>
        <w:fldChar w:fldCharType="end"/>
      </w:r>
    </w:p>
    <w:p>
      <w:pPr>
        <w:pStyle w:val="6"/>
        <w:keepNext w:val="0"/>
        <w:keepLines w:val="0"/>
        <w:widowControl/>
        <w:suppressLineNumbers w:val="0"/>
        <w:spacing w:before="165" w:beforeAutospacing="0" w:after="0" w:afterAutospacing="0" w:line="360" w:lineRule="atLeast"/>
        <w:ind w:left="0" w:right="255" w:firstLine="555"/>
        <w:jc w:val="both"/>
        <w:rPr>
          <w:sz w:val="32"/>
          <w:szCs w:val="32"/>
        </w:rPr>
      </w:pPr>
      <w:r>
        <w:rPr>
          <w:rFonts w:hint="default" w:ascii="仿宋_GB2312" w:eastAsia="仿宋_GB2312" w:cs="仿宋_GB2312"/>
          <w:sz w:val="32"/>
          <w:szCs w:val="32"/>
        </w:rPr>
        <w:t>工作联络员：万磊    </w:t>
      </w:r>
    </w:p>
    <w:p>
      <w:pPr>
        <w:pStyle w:val="6"/>
        <w:keepNext w:val="0"/>
        <w:keepLines w:val="0"/>
        <w:widowControl/>
        <w:suppressLineNumbers w:val="0"/>
        <w:spacing w:before="165" w:beforeAutospacing="0" w:after="0" w:afterAutospacing="0" w:line="360" w:lineRule="atLeast"/>
        <w:ind w:left="0" w:right="255" w:firstLine="555"/>
        <w:jc w:val="both"/>
        <w:rPr>
          <w:sz w:val="32"/>
          <w:szCs w:val="32"/>
        </w:rPr>
      </w:pPr>
      <w:r>
        <w:rPr>
          <w:rFonts w:hint="default" w:ascii="仿宋_GB2312" w:eastAsia="仿宋_GB2312" w:cs="仿宋_GB2312"/>
          <w:sz w:val="32"/>
          <w:szCs w:val="32"/>
        </w:rPr>
        <w:t>联系电话：</w:t>
      </w:r>
      <w:r>
        <w:rPr>
          <w:rFonts w:hint="eastAsia" w:ascii="宋体" w:hAnsi="宋体" w:eastAsia="宋体" w:cs="宋体"/>
          <w:sz w:val="32"/>
          <w:szCs w:val="32"/>
        </w:rPr>
        <w:t>13465402718</w:t>
      </w:r>
    </w:p>
    <w:p>
      <w:pPr>
        <w:pStyle w:val="6"/>
        <w:keepNext w:val="0"/>
        <w:keepLines w:val="0"/>
        <w:widowControl/>
        <w:suppressLineNumbers w:val="0"/>
        <w:spacing w:before="165" w:beforeAutospacing="0" w:after="0" w:afterAutospacing="0" w:line="360" w:lineRule="atLeast"/>
        <w:ind w:left="0" w:right="255" w:firstLine="645"/>
        <w:jc w:val="left"/>
        <w:rPr>
          <w:sz w:val="32"/>
          <w:szCs w:val="32"/>
        </w:rPr>
      </w:pPr>
    </w:p>
    <w:p>
      <w:pPr>
        <w:pStyle w:val="6"/>
        <w:keepNext w:val="0"/>
        <w:keepLines w:val="0"/>
        <w:widowControl/>
        <w:suppressLineNumbers w:val="0"/>
        <w:spacing w:before="75" w:beforeAutospacing="0" w:after="0" w:afterAutospacing="0" w:line="315" w:lineRule="atLeast"/>
        <w:ind w:left="450" w:right="1905"/>
        <w:rPr>
          <w:sz w:val="32"/>
          <w:szCs w:val="32"/>
        </w:rPr>
      </w:pPr>
    </w:p>
    <w:p>
      <w:pPr>
        <w:pStyle w:val="6"/>
        <w:keepNext w:val="0"/>
        <w:keepLines w:val="0"/>
        <w:widowControl/>
        <w:suppressLineNumbers w:val="0"/>
        <w:spacing w:before="165" w:beforeAutospacing="0" w:after="0" w:afterAutospacing="0" w:line="360" w:lineRule="atLeast"/>
        <w:ind w:left="0" w:right="255" w:firstLine="885"/>
        <w:jc w:val="center"/>
        <w:outlineLvl w:val="0"/>
        <w:rPr>
          <w:rFonts w:ascii="方正小标宋简体" w:hAnsi="方正小标宋简体" w:eastAsia="方正小标宋简体" w:cs="方正小标宋简体"/>
          <w:b/>
          <w:bCs/>
          <w:sz w:val="44"/>
          <w:szCs w:val="44"/>
        </w:rPr>
      </w:pPr>
      <w:bookmarkStart w:id="32" w:name="_Toc32229"/>
      <w:r>
        <w:rPr>
          <w:rFonts w:ascii="方正小标宋简体" w:hAnsi="方正小标宋简体" w:eastAsia="方正小标宋简体" w:cs="方正小标宋简体"/>
          <w:b/>
          <w:bCs/>
          <w:sz w:val="44"/>
          <w:szCs w:val="44"/>
        </w:rPr>
        <w:t>济南陆港大厦</w:t>
      </w:r>
      <w:bookmarkEnd w:id="32"/>
    </w:p>
    <w:p>
      <w:pPr>
        <w:pStyle w:val="6"/>
        <w:keepNext w:val="0"/>
        <w:keepLines w:val="0"/>
        <w:widowControl/>
        <w:suppressLineNumbers w:val="0"/>
        <w:spacing w:before="0" w:beforeAutospacing="0" w:after="0" w:afterAutospacing="0" w:line="315" w:lineRule="atLeast"/>
        <w:ind w:left="0" w:right="0" w:firstLine="645"/>
        <w:outlineLvl w:val="0"/>
        <w:rPr>
          <w:rFonts w:hint="default" w:ascii="sans-serif" w:hAnsi="sans-serif" w:eastAsia="sans-serif" w:cs="sans-serif"/>
          <w:i w:val="0"/>
          <w:iCs w:val="0"/>
          <w:caps w:val="0"/>
          <w:color w:val="000000"/>
          <w:spacing w:val="0"/>
          <w:sz w:val="32"/>
          <w:szCs w:val="32"/>
        </w:rPr>
      </w:pPr>
      <w:bookmarkStart w:id="33" w:name="_Toc28609"/>
      <w:r>
        <w:rPr>
          <w:rFonts w:ascii="黑体" w:hAnsi="宋体" w:eastAsia="黑体" w:cs="黑体"/>
          <w:i w:val="0"/>
          <w:iCs w:val="0"/>
          <w:caps w:val="0"/>
          <w:color w:val="000000"/>
          <w:spacing w:val="0"/>
          <w:sz w:val="32"/>
          <w:szCs w:val="32"/>
        </w:rPr>
        <w:t>一、项目名称</w:t>
      </w:r>
      <w:bookmarkEnd w:id="33"/>
    </w:p>
    <w:p>
      <w:pPr>
        <w:pStyle w:val="6"/>
        <w:keepNext w:val="0"/>
        <w:keepLines w:val="0"/>
        <w:widowControl/>
        <w:suppressLineNumbers w:val="0"/>
        <w:spacing w:before="0" w:beforeAutospacing="0" w:after="0" w:afterAutospacing="0" w:line="315" w:lineRule="atLeast"/>
        <w:ind w:left="0" w:right="0" w:firstLine="645"/>
        <w:rPr>
          <w:rFonts w:hint="default" w:ascii="sans-serif" w:hAnsi="sans-serif" w:eastAsia="sans-serif" w:cs="sans-serif"/>
          <w:i w:val="0"/>
          <w:iCs w:val="0"/>
          <w:caps w:val="0"/>
          <w:color w:val="000000"/>
          <w:spacing w:val="0"/>
          <w:sz w:val="32"/>
          <w:szCs w:val="32"/>
        </w:rPr>
      </w:pPr>
      <w:r>
        <w:rPr>
          <w:rFonts w:ascii="仿宋_GB2312" w:hAnsi="sans-serif" w:eastAsia="仿宋_GB2312" w:cs="仿宋_GB2312"/>
          <w:i w:val="0"/>
          <w:iCs w:val="0"/>
          <w:caps w:val="0"/>
          <w:color w:val="000000"/>
          <w:spacing w:val="0"/>
          <w:sz w:val="32"/>
          <w:szCs w:val="32"/>
        </w:rPr>
        <w:t>济南陆港大厦</w:t>
      </w:r>
    </w:p>
    <w:p>
      <w:pPr>
        <w:pStyle w:val="6"/>
        <w:keepNext w:val="0"/>
        <w:keepLines w:val="0"/>
        <w:widowControl/>
        <w:suppressLineNumbers w:val="0"/>
        <w:spacing w:before="0" w:beforeAutospacing="0" w:after="0" w:afterAutospacing="0" w:line="315" w:lineRule="atLeast"/>
        <w:ind w:left="0" w:right="0" w:firstLine="645"/>
        <w:outlineLvl w:val="0"/>
        <w:rPr>
          <w:rFonts w:hint="default" w:ascii="sans-serif" w:hAnsi="sans-serif" w:eastAsia="sans-serif" w:cs="sans-serif"/>
          <w:i w:val="0"/>
          <w:iCs w:val="0"/>
          <w:caps w:val="0"/>
          <w:color w:val="000000"/>
          <w:spacing w:val="0"/>
          <w:sz w:val="32"/>
          <w:szCs w:val="32"/>
        </w:rPr>
      </w:pPr>
      <w:bookmarkStart w:id="34" w:name="_Toc3233"/>
      <w:r>
        <w:rPr>
          <w:rFonts w:hint="eastAsia" w:ascii="黑体" w:hAnsi="宋体" w:eastAsia="黑体" w:cs="黑体"/>
          <w:i w:val="0"/>
          <w:iCs w:val="0"/>
          <w:caps w:val="0"/>
          <w:color w:val="000000"/>
          <w:spacing w:val="0"/>
          <w:sz w:val="32"/>
          <w:szCs w:val="32"/>
        </w:rPr>
        <w:t>二、园区</w:t>
      </w:r>
      <w:r>
        <w:rPr>
          <w:rFonts w:hint="eastAsia" w:ascii="宋体" w:hAnsi="宋体" w:eastAsia="宋体" w:cs="宋体"/>
          <w:i w:val="0"/>
          <w:iCs w:val="0"/>
          <w:caps w:val="0"/>
          <w:color w:val="000000"/>
          <w:spacing w:val="0"/>
          <w:sz w:val="32"/>
          <w:szCs w:val="32"/>
        </w:rPr>
        <w:t>(</w:t>
      </w:r>
      <w:r>
        <w:rPr>
          <w:rFonts w:hint="eastAsia" w:ascii="黑体" w:hAnsi="宋体" w:eastAsia="黑体" w:cs="黑体"/>
          <w:i w:val="0"/>
          <w:iCs w:val="0"/>
          <w:caps w:val="0"/>
          <w:color w:val="000000"/>
          <w:spacing w:val="0"/>
          <w:sz w:val="32"/>
          <w:szCs w:val="32"/>
        </w:rPr>
        <w:t>或楼宇</w:t>
      </w:r>
      <w:r>
        <w:rPr>
          <w:rFonts w:hint="eastAsia" w:ascii="宋体" w:hAnsi="宋体" w:eastAsia="宋体" w:cs="宋体"/>
          <w:i w:val="0"/>
          <w:iCs w:val="0"/>
          <w:caps w:val="0"/>
          <w:color w:val="000000"/>
          <w:spacing w:val="0"/>
          <w:sz w:val="32"/>
          <w:szCs w:val="32"/>
        </w:rPr>
        <w:t>)</w:t>
      </w:r>
      <w:r>
        <w:rPr>
          <w:rFonts w:hint="eastAsia" w:ascii="黑体" w:hAnsi="宋体" w:eastAsia="黑体" w:cs="黑体"/>
          <w:i w:val="0"/>
          <w:iCs w:val="0"/>
          <w:caps w:val="0"/>
          <w:color w:val="000000"/>
          <w:spacing w:val="0"/>
          <w:sz w:val="32"/>
          <w:szCs w:val="32"/>
        </w:rPr>
        <w:t>概况</w:t>
      </w:r>
      <w:bookmarkEnd w:id="34"/>
    </w:p>
    <w:p>
      <w:pPr>
        <w:pStyle w:val="6"/>
        <w:keepNext w:val="0"/>
        <w:keepLines w:val="0"/>
        <w:widowControl/>
        <w:suppressLineNumbers w:val="0"/>
        <w:spacing w:before="0" w:beforeAutospacing="0" w:after="0" w:afterAutospacing="0" w:line="315" w:lineRule="atLeast"/>
        <w:ind w:left="0" w:right="0" w:firstLine="645"/>
        <w:rPr>
          <w:rFonts w:hint="default" w:ascii="sans-serif" w:hAnsi="sans-serif" w:eastAsia="sans-serif" w:cs="sans-serif"/>
          <w:i w:val="0"/>
          <w:iCs w:val="0"/>
          <w:caps w:val="0"/>
          <w:color w:val="000000"/>
          <w:spacing w:val="0"/>
          <w:sz w:val="32"/>
          <w:szCs w:val="32"/>
        </w:rPr>
      </w:pPr>
      <w:r>
        <w:rPr>
          <w:rFonts w:hint="default" w:ascii="仿宋_GB2312" w:hAnsi="sans-serif" w:eastAsia="仿宋_GB2312" w:cs="仿宋_GB2312"/>
          <w:i w:val="0"/>
          <w:iCs w:val="0"/>
          <w:caps w:val="0"/>
          <w:color w:val="000000"/>
          <w:spacing w:val="0"/>
          <w:sz w:val="32"/>
          <w:szCs w:val="32"/>
        </w:rPr>
        <w:t>济南陆港大厦项总投资约</w:t>
      </w:r>
      <w:r>
        <w:rPr>
          <w:rFonts w:hint="eastAsia" w:ascii="宋体" w:hAnsi="宋体" w:eastAsia="宋体" w:cs="宋体"/>
          <w:i w:val="0"/>
          <w:iCs w:val="0"/>
          <w:caps w:val="0"/>
          <w:color w:val="000000"/>
          <w:spacing w:val="0"/>
          <w:sz w:val="32"/>
          <w:szCs w:val="32"/>
        </w:rPr>
        <w:t>12</w:t>
      </w:r>
      <w:r>
        <w:rPr>
          <w:rFonts w:hint="default" w:ascii="仿宋_GB2312" w:hAnsi="sans-serif" w:eastAsia="仿宋_GB2312" w:cs="仿宋_GB2312"/>
          <w:i w:val="0"/>
          <w:iCs w:val="0"/>
          <w:caps w:val="0"/>
          <w:color w:val="000000"/>
          <w:spacing w:val="0"/>
          <w:sz w:val="32"/>
          <w:szCs w:val="32"/>
        </w:rPr>
        <w:t>亿元，由济南临港产业园开发有限公司开发建设，项目占地</w:t>
      </w:r>
      <w:r>
        <w:rPr>
          <w:rFonts w:hint="eastAsia" w:ascii="宋体" w:hAnsi="宋体" w:eastAsia="宋体" w:cs="宋体"/>
          <w:i w:val="0"/>
          <w:iCs w:val="0"/>
          <w:caps w:val="0"/>
          <w:color w:val="000000"/>
          <w:spacing w:val="0"/>
          <w:sz w:val="32"/>
          <w:szCs w:val="32"/>
        </w:rPr>
        <w:t>59</w:t>
      </w:r>
      <w:r>
        <w:rPr>
          <w:rFonts w:hint="default" w:ascii="仿宋_GB2312" w:hAnsi="sans-serif" w:eastAsia="仿宋_GB2312" w:cs="仿宋_GB2312"/>
          <w:i w:val="0"/>
          <w:iCs w:val="0"/>
          <w:caps w:val="0"/>
          <w:color w:val="000000"/>
          <w:spacing w:val="0"/>
          <w:sz w:val="32"/>
          <w:szCs w:val="32"/>
        </w:rPr>
        <w:t>亩，总建筑面积约</w:t>
      </w:r>
      <w:r>
        <w:rPr>
          <w:rFonts w:hint="eastAsia" w:ascii="宋体" w:hAnsi="宋体" w:eastAsia="宋体" w:cs="宋体"/>
          <w:i w:val="0"/>
          <w:iCs w:val="0"/>
          <w:caps w:val="0"/>
          <w:color w:val="000000"/>
          <w:spacing w:val="0"/>
          <w:sz w:val="32"/>
          <w:szCs w:val="32"/>
        </w:rPr>
        <w:t>18</w:t>
      </w:r>
      <w:r>
        <w:rPr>
          <w:rFonts w:hint="default" w:ascii="仿宋_GB2312" w:hAnsi="sans-serif" w:eastAsia="仿宋_GB2312" w:cs="仿宋_GB2312"/>
          <w:i w:val="0"/>
          <w:iCs w:val="0"/>
          <w:caps w:val="0"/>
          <w:color w:val="000000"/>
          <w:spacing w:val="0"/>
          <w:sz w:val="32"/>
          <w:szCs w:val="32"/>
        </w:rPr>
        <w:t>万平方米。项目位于温梁路与春暄路交汇处，处于内陆港片区核心区。项目规划建设四栋高层产业办公及商业配套，以高端物流为主导产业。项目功能涵盖政务服务、智慧物流服务、大宗商品交易、跨境电商交易、信息交易结算。目前已签约引进</w:t>
      </w:r>
      <w:r>
        <w:rPr>
          <w:rFonts w:hint="eastAsia" w:ascii="宋体" w:hAnsi="宋体" w:eastAsia="宋体" w:cs="宋体"/>
          <w:i w:val="0"/>
          <w:iCs w:val="0"/>
          <w:caps w:val="0"/>
          <w:color w:val="000000"/>
          <w:spacing w:val="0"/>
          <w:sz w:val="32"/>
          <w:szCs w:val="32"/>
        </w:rPr>
        <w:t>30</w:t>
      </w:r>
      <w:r>
        <w:rPr>
          <w:rFonts w:hint="default" w:ascii="仿宋_GB2312" w:hAnsi="sans-serif" w:eastAsia="仿宋_GB2312" w:cs="仿宋_GB2312"/>
          <w:i w:val="0"/>
          <w:iCs w:val="0"/>
          <w:caps w:val="0"/>
          <w:color w:val="000000"/>
          <w:spacing w:val="0"/>
          <w:sz w:val="32"/>
          <w:szCs w:val="32"/>
        </w:rPr>
        <w:t>余家企业。</w:t>
      </w:r>
    </w:p>
    <w:p>
      <w:pPr>
        <w:pStyle w:val="6"/>
        <w:keepNext w:val="0"/>
        <w:keepLines w:val="0"/>
        <w:widowControl/>
        <w:suppressLineNumbers w:val="0"/>
        <w:spacing w:before="0" w:beforeAutospacing="0" w:after="0" w:afterAutospacing="0" w:line="315" w:lineRule="atLeast"/>
        <w:ind w:left="0" w:right="0" w:firstLine="645"/>
        <w:outlineLvl w:val="0"/>
        <w:rPr>
          <w:rFonts w:hint="default" w:ascii="sans-serif" w:hAnsi="sans-serif" w:eastAsia="sans-serif" w:cs="sans-serif"/>
          <w:i w:val="0"/>
          <w:iCs w:val="0"/>
          <w:caps w:val="0"/>
          <w:color w:val="000000"/>
          <w:spacing w:val="0"/>
          <w:sz w:val="32"/>
          <w:szCs w:val="32"/>
        </w:rPr>
      </w:pPr>
      <w:bookmarkStart w:id="35" w:name="_Toc9240"/>
      <w:r>
        <w:rPr>
          <w:rFonts w:hint="eastAsia" w:ascii="黑体" w:hAnsi="宋体" w:eastAsia="黑体" w:cs="黑体"/>
          <w:i w:val="0"/>
          <w:iCs w:val="0"/>
          <w:caps w:val="0"/>
          <w:color w:val="000000"/>
          <w:spacing w:val="0"/>
          <w:sz w:val="32"/>
          <w:szCs w:val="32"/>
        </w:rPr>
        <w:t>三、产业发展基础或定位</w:t>
      </w:r>
      <w:bookmarkEnd w:id="35"/>
    </w:p>
    <w:p>
      <w:pPr>
        <w:pStyle w:val="6"/>
        <w:keepNext w:val="0"/>
        <w:keepLines w:val="0"/>
        <w:widowControl/>
        <w:suppressLineNumbers w:val="0"/>
        <w:spacing w:before="0" w:beforeAutospacing="0" w:after="0" w:afterAutospacing="0" w:line="315" w:lineRule="atLeast"/>
        <w:ind w:left="0" w:right="0" w:firstLine="645"/>
        <w:rPr>
          <w:rFonts w:hint="default" w:ascii="sans-serif" w:hAnsi="sans-serif" w:eastAsia="sans-serif" w:cs="sans-serif"/>
          <w:i w:val="0"/>
          <w:iCs w:val="0"/>
          <w:caps w:val="0"/>
          <w:color w:val="000000"/>
          <w:spacing w:val="0"/>
          <w:sz w:val="32"/>
          <w:szCs w:val="32"/>
        </w:rPr>
      </w:pPr>
      <w:r>
        <w:rPr>
          <w:rFonts w:hint="eastAsia" w:ascii="宋体" w:hAnsi="宋体" w:eastAsia="宋体" w:cs="宋体"/>
          <w:i w:val="0"/>
          <w:iCs w:val="0"/>
          <w:caps w:val="0"/>
          <w:color w:val="000000"/>
          <w:spacing w:val="0"/>
          <w:sz w:val="32"/>
          <w:szCs w:val="32"/>
        </w:rPr>
        <w:t> </w:t>
      </w:r>
      <w:r>
        <w:rPr>
          <w:rFonts w:hint="default" w:ascii="仿宋_GB2312" w:hAnsi="sans-serif" w:eastAsia="仿宋_GB2312" w:cs="仿宋_GB2312"/>
          <w:i w:val="0"/>
          <w:iCs w:val="0"/>
          <w:caps w:val="0"/>
          <w:color w:val="000000"/>
          <w:spacing w:val="0"/>
          <w:sz w:val="32"/>
          <w:szCs w:val="32"/>
        </w:rPr>
        <w:t>济南陆港大厦项目是内陆港片区的政务服务中心和智慧物流服务中心，紧紧围绕大宗商品结算中心、跨境电商中心、物流总部基地和齐鲁物流信息交易结算中心的规划方向发展。目前，齐鲁物流信息交易结算中心已启动，签约引进了</w:t>
      </w:r>
      <w:r>
        <w:rPr>
          <w:rFonts w:hint="eastAsia" w:ascii="宋体" w:hAnsi="宋体" w:eastAsia="宋体" w:cs="宋体"/>
          <w:i w:val="0"/>
          <w:iCs w:val="0"/>
          <w:caps w:val="0"/>
          <w:color w:val="000000"/>
          <w:spacing w:val="0"/>
          <w:sz w:val="32"/>
          <w:szCs w:val="32"/>
        </w:rPr>
        <w:t>25</w:t>
      </w:r>
      <w:r>
        <w:rPr>
          <w:rFonts w:hint="default" w:ascii="仿宋_GB2312" w:hAnsi="sans-serif" w:eastAsia="仿宋_GB2312" w:cs="仿宋_GB2312"/>
          <w:i w:val="0"/>
          <w:iCs w:val="0"/>
          <w:caps w:val="0"/>
          <w:color w:val="000000"/>
          <w:spacing w:val="0"/>
          <w:sz w:val="32"/>
          <w:szCs w:val="32"/>
        </w:rPr>
        <w:t>家知名物流企业，并与蚂蚁科技等金融机构合作，打造网络货运平台，预计</w:t>
      </w:r>
      <w:r>
        <w:rPr>
          <w:rFonts w:hint="eastAsia" w:ascii="宋体" w:hAnsi="宋体" w:eastAsia="宋体" w:cs="宋体"/>
          <w:i w:val="0"/>
          <w:iCs w:val="0"/>
          <w:caps w:val="0"/>
          <w:color w:val="000000"/>
          <w:spacing w:val="0"/>
          <w:sz w:val="32"/>
          <w:szCs w:val="32"/>
        </w:rPr>
        <w:t>3</w:t>
      </w:r>
      <w:r>
        <w:rPr>
          <w:rFonts w:hint="default" w:ascii="仿宋_GB2312" w:hAnsi="sans-serif" w:eastAsia="仿宋_GB2312" w:cs="仿宋_GB2312"/>
          <w:i w:val="0"/>
          <w:iCs w:val="0"/>
          <w:caps w:val="0"/>
          <w:color w:val="000000"/>
          <w:spacing w:val="0"/>
          <w:sz w:val="32"/>
          <w:szCs w:val="32"/>
        </w:rPr>
        <w:t>年后交易额将超过</w:t>
      </w:r>
      <w:r>
        <w:rPr>
          <w:rFonts w:hint="eastAsia" w:ascii="宋体" w:hAnsi="宋体" w:eastAsia="宋体" w:cs="宋体"/>
          <w:i w:val="0"/>
          <w:iCs w:val="0"/>
          <w:caps w:val="0"/>
          <w:color w:val="000000"/>
          <w:spacing w:val="0"/>
          <w:sz w:val="32"/>
          <w:szCs w:val="32"/>
        </w:rPr>
        <w:t>200</w:t>
      </w:r>
      <w:r>
        <w:rPr>
          <w:rFonts w:hint="default" w:ascii="仿宋_GB2312" w:hAnsi="sans-serif" w:eastAsia="仿宋_GB2312" w:cs="仿宋_GB2312"/>
          <w:i w:val="0"/>
          <w:iCs w:val="0"/>
          <w:caps w:val="0"/>
          <w:color w:val="000000"/>
          <w:spacing w:val="0"/>
          <w:sz w:val="32"/>
          <w:szCs w:val="32"/>
        </w:rPr>
        <w:t>亿元，利税超过</w:t>
      </w:r>
      <w:r>
        <w:rPr>
          <w:rFonts w:hint="eastAsia" w:ascii="宋体" w:hAnsi="宋体" w:eastAsia="宋体" w:cs="宋体"/>
          <w:i w:val="0"/>
          <w:iCs w:val="0"/>
          <w:caps w:val="0"/>
          <w:color w:val="000000"/>
          <w:spacing w:val="0"/>
          <w:sz w:val="32"/>
          <w:szCs w:val="32"/>
        </w:rPr>
        <w:t>6</w:t>
      </w:r>
      <w:r>
        <w:rPr>
          <w:rFonts w:hint="default" w:ascii="仿宋_GB2312" w:hAnsi="sans-serif" w:eastAsia="仿宋_GB2312" w:cs="仿宋_GB2312"/>
          <w:i w:val="0"/>
          <w:iCs w:val="0"/>
          <w:caps w:val="0"/>
          <w:color w:val="000000"/>
          <w:spacing w:val="0"/>
          <w:sz w:val="32"/>
          <w:szCs w:val="32"/>
        </w:rPr>
        <w:t>亿元。</w:t>
      </w:r>
    </w:p>
    <w:p>
      <w:pPr>
        <w:pStyle w:val="6"/>
        <w:keepNext w:val="0"/>
        <w:keepLines w:val="0"/>
        <w:widowControl/>
        <w:suppressLineNumbers w:val="0"/>
        <w:spacing w:before="0" w:beforeAutospacing="0" w:after="0" w:afterAutospacing="0" w:line="315" w:lineRule="atLeast"/>
        <w:ind w:left="0" w:right="0" w:firstLine="645"/>
        <w:rPr>
          <w:rFonts w:hint="default" w:ascii="sans-serif" w:hAnsi="sans-serif" w:eastAsia="sans-serif" w:cs="sans-serif"/>
          <w:i w:val="0"/>
          <w:iCs w:val="0"/>
          <w:caps w:val="0"/>
          <w:color w:val="000000"/>
          <w:spacing w:val="0"/>
          <w:sz w:val="32"/>
          <w:szCs w:val="32"/>
        </w:rPr>
      </w:pPr>
      <w:r>
        <w:rPr>
          <w:rFonts w:hint="default" w:ascii="仿宋_GB2312" w:hAnsi="sans-serif" w:eastAsia="仿宋_GB2312" w:cs="仿宋_GB2312"/>
          <w:i w:val="0"/>
          <w:iCs w:val="0"/>
          <w:caps w:val="0"/>
          <w:color w:val="000000"/>
          <w:spacing w:val="0"/>
          <w:sz w:val="32"/>
          <w:szCs w:val="32"/>
        </w:rPr>
        <w:t>项目以网络货运、大宗商品交易、跨境电商、物流企业总部基地类企业为招商引资方向。</w:t>
      </w:r>
    </w:p>
    <w:p>
      <w:pPr>
        <w:pStyle w:val="6"/>
        <w:keepNext w:val="0"/>
        <w:keepLines w:val="0"/>
        <w:widowControl/>
        <w:suppressLineNumbers w:val="0"/>
        <w:spacing w:before="0" w:beforeAutospacing="0" w:after="0" w:afterAutospacing="0" w:line="315" w:lineRule="atLeast"/>
        <w:ind w:left="0" w:right="0" w:firstLine="645"/>
        <w:outlineLvl w:val="0"/>
        <w:rPr>
          <w:rFonts w:hint="default" w:ascii="sans-serif" w:hAnsi="sans-serif" w:eastAsia="sans-serif" w:cs="sans-serif"/>
          <w:i w:val="0"/>
          <w:iCs w:val="0"/>
          <w:caps w:val="0"/>
          <w:color w:val="000000"/>
          <w:spacing w:val="0"/>
          <w:sz w:val="32"/>
          <w:szCs w:val="32"/>
        </w:rPr>
      </w:pPr>
      <w:bookmarkStart w:id="36" w:name="_Toc795"/>
      <w:r>
        <w:rPr>
          <w:rFonts w:hint="eastAsia" w:ascii="黑体" w:hAnsi="宋体" w:eastAsia="黑体" w:cs="黑体"/>
          <w:i w:val="0"/>
          <w:iCs w:val="0"/>
          <w:caps w:val="0"/>
          <w:color w:val="000000"/>
          <w:spacing w:val="0"/>
          <w:sz w:val="32"/>
          <w:szCs w:val="32"/>
        </w:rPr>
        <w:t>四、基础设施及配套情况</w:t>
      </w:r>
      <w:bookmarkEnd w:id="36"/>
    </w:p>
    <w:p>
      <w:pPr>
        <w:pStyle w:val="6"/>
        <w:keepNext w:val="0"/>
        <w:keepLines w:val="0"/>
        <w:widowControl/>
        <w:suppressLineNumbers w:val="0"/>
        <w:spacing w:before="0" w:beforeAutospacing="0" w:after="0" w:afterAutospacing="0" w:line="420" w:lineRule="atLeast"/>
        <w:ind w:left="0" w:right="0" w:firstLine="0"/>
        <w:rPr>
          <w:rFonts w:hint="default" w:ascii="sans-serif" w:hAnsi="sans-serif" w:eastAsia="sans-serif" w:cs="sans-serif"/>
          <w:i w:val="0"/>
          <w:iCs w:val="0"/>
          <w:caps w:val="0"/>
          <w:color w:val="000000"/>
          <w:spacing w:val="0"/>
          <w:sz w:val="32"/>
          <w:szCs w:val="32"/>
        </w:rPr>
      </w:pPr>
      <w:r>
        <w:rPr>
          <w:rFonts w:hint="default" w:ascii="sans-serif" w:hAnsi="sans-serif" w:eastAsia="sans-serif" w:cs="sans-serif"/>
          <w:i w:val="0"/>
          <w:iCs w:val="0"/>
          <w:caps w:val="0"/>
          <w:color w:val="000000"/>
          <w:spacing w:val="0"/>
          <w:sz w:val="32"/>
          <w:szCs w:val="32"/>
        </w:rPr>
        <w:t>         </w:t>
      </w:r>
      <w:r>
        <w:rPr>
          <w:rFonts w:hint="default" w:ascii="仿宋_GB2312" w:hAnsi="sans-serif" w:eastAsia="仿宋_GB2312" w:cs="仿宋_GB2312"/>
          <w:i w:val="0"/>
          <w:iCs w:val="0"/>
          <w:caps w:val="0"/>
          <w:color w:val="000000"/>
          <w:spacing w:val="0"/>
          <w:sz w:val="32"/>
          <w:szCs w:val="32"/>
        </w:rPr>
        <w:t>济南陆港大厦项总投资约</w:t>
      </w:r>
      <w:r>
        <w:rPr>
          <w:rFonts w:hint="eastAsia" w:ascii="宋体" w:hAnsi="宋体" w:eastAsia="宋体" w:cs="宋体"/>
          <w:i w:val="0"/>
          <w:iCs w:val="0"/>
          <w:caps w:val="0"/>
          <w:color w:val="000000"/>
          <w:spacing w:val="0"/>
          <w:sz w:val="32"/>
          <w:szCs w:val="32"/>
        </w:rPr>
        <w:t>12</w:t>
      </w:r>
      <w:r>
        <w:rPr>
          <w:rFonts w:hint="default" w:ascii="仿宋_GB2312" w:hAnsi="sans-serif" w:eastAsia="仿宋_GB2312" w:cs="仿宋_GB2312"/>
          <w:i w:val="0"/>
          <w:iCs w:val="0"/>
          <w:caps w:val="0"/>
          <w:color w:val="000000"/>
          <w:spacing w:val="0"/>
          <w:sz w:val="32"/>
          <w:szCs w:val="32"/>
        </w:rPr>
        <w:t>亿元，占地</w:t>
      </w:r>
      <w:r>
        <w:rPr>
          <w:rFonts w:hint="eastAsia" w:ascii="宋体" w:hAnsi="宋体" w:eastAsia="宋体" w:cs="宋体"/>
          <w:i w:val="0"/>
          <w:iCs w:val="0"/>
          <w:caps w:val="0"/>
          <w:color w:val="000000"/>
          <w:spacing w:val="0"/>
          <w:sz w:val="32"/>
          <w:szCs w:val="32"/>
        </w:rPr>
        <w:t>59</w:t>
      </w:r>
      <w:r>
        <w:rPr>
          <w:rFonts w:hint="default" w:ascii="仿宋_GB2312" w:hAnsi="sans-serif" w:eastAsia="仿宋_GB2312" w:cs="仿宋_GB2312"/>
          <w:i w:val="0"/>
          <w:iCs w:val="0"/>
          <w:caps w:val="0"/>
          <w:color w:val="000000"/>
          <w:spacing w:val="0"/>
          <w:sz w:val="32"/>
          <w:szCs w:val="32"/>
        </w:rPr>
        <w:t>亩，总建筑面积约</w:t>
      </w:r>
      <w:r>
        <w:rPr>
          <w:rFonts w:hint="eastAsia" w:ascii="宋体" w:hAnsi="宋体" w:eastAsia="宋体" w:cs="宋体"/>
          <w:i w:val="0"/>
          <w:iCs w:val="0"/>
          <w:caps w:val="0"/>
          <w:color w:val="000000"/>
          <w:spacing w:val="0"/>
          <w:sz w:val="32"/>
          <w:szCs w:val="32"/>
        </w:rPr>
        <w:t>18</w:t>
      </w:r>
      <w:r>
        <w:rPr>
          <w:rFonts w:hint="default" w:ascii="仿宋_GB2312" w:hAnsi="sans-serif" w:eastAsia="仿宋_GB2312" w:cs="仿宋_GB2312"/>
          <w:i w:val="0"/>
          <w:iCs w:val="0"/>
          <w:caps w:val="0"/>
          <w:color w:val="000000"/>
          <w:spacing w:val="0"/>
          <w:sz w:val="32"/>
          <w:szCs w:val="32"/>
        </w:rPr>
        <w:t>万平方米。项目位于温梁路与春暄路交汇处，处于内陆港片区核心区。项目规划建设四栋高层产业办公及商业配套。</w:t>
      </w:r>
    </w:p>
    <w:p>
      <w:pPr>
        <w:pStyle w:val="6"/>
        <w:keepNext w:val="0"/>
        <w:keepLines w:val="0"/>
        <w:widowControl/>
        <w:suppressLineNumbers w:val="0"/>
        <w:spacing w:before="0" w:beforeAutospacing="0" w:after="0" w:afterAutospacing="0" w:line="420" w:lineRule="atLeast"/>
        <w:ind w:left="0" w:right="0" w:firstLine="0"/>
        <w:jc w:val="center"/>
        <w:rPr>
          <w:rFonts w:hint="default" w:ascii="sans-serif" w:hAnsi="sans-serif" w:eastAsia="sans-serif" w:cs="sans-serif"/>
          <w:i w:val="0"/>
          <w:iCs w:val="0"/>
          <w:caps w:val="0"/>
          <w:color w:val="000000"/>
          <w:spacing w:val="0"/>
          <w:sz w:val="32"/>
          <w:szCs w:val="32"/>
        </w:rPr>
      </w:pPr>
      <w:r>
        <w:rPr>
          <w:rFonts w:hint="default" w:ascii="仿宋_GB2312" w:hAnsi="sans-serif" w:eastAsia="仿宋_GB2312" w:cs="仿宋_GB2312"/>
          <w:i w:val="0"/>
          <w:iCs w:val="0"/>
          <w:caps w:val="0"/>
          <w:color w:val="auto"/>
          <w:spacing w:val="0"/>
          <w:sz w:val="32"/>
          <w:szCs w:val="32"/>
          <w:u w:val="none"/>
          <w:bdr w:val="none" w:color="auto" w:sz="0" w:space="0"/>
        </w:rPr>
        <w:drawing>
          <wp:inline distT="0" distB="0" distL="114300" distR="114300">
            <wp:extent cx="4762500" cy="1514475"/>
            <wp:effectExtent l="0" t="0" r="0" b="9525"/>
            <wp:docPr id="26" name="图片 26" descr="1.pn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png"/>
                    <pic:cNvPicPr>
                      <a:picLocks noChangeAspect="1"/>
                    </pic:cNvPicPr>
                  </pic:nvPicPr>
                  <pic:blipFill>
                    <a:blip r:embed="rId55"/>
                    <a:stretch>
                      <a:fillRect/>
                    </a:stretch>
                  </pic:blipFill>
                  <pic:spPr>
                    <a:xfrm>
                      <a:off x="0" y="0"/>
                      <a:ext cx="4762500" cy="1514475"/>
                    </a:xfrm>
                    <a:prstGeom prst="rect">
                      <a:avLst/>
                    </a:prstGeom>
                    <a:noFill/>
                    <a:ln w="9525">
                      <a:noFill/>
                    </a:ln>
                  </pic:spPr>
                </pic:pic>
              </a:graphicData>
            </a:graphic>
          </wp:inline>
        </w:drawing>
      </w:r>
    </w:p>
    <w:p>
      <w:pPr>
        <w:pStyle w:val="6"/>
        <w:keepNext w:val="0"/>
        <w:keepLines w:val="0"/>
        <w:widowControl/>
        <w:suppressLineNumbers w:val="0"/>
        <w:spacing w:before="0" w:beforeAutospacing="0" w:after="0" w:afterAutospacing="0" w:line="420" w:lineRule="atLeast"/>
        <w:ind w:left="0" w:right="0" w:firstLine="0"/>
        <w:rPr>
          <w:rFonts w:hint="default" w:ascii="sans-serif" w:hAnsi="sans-serif" w:eastAsia="sans-serif" w:cs="sans-serif"/>
          <w:i w:val="0"/>
          <w:iCs w:val="0"/>
          <w:caps w:val="0"/>
          <w:color w:val="000000"/>
          <w:spacing w:val="0"/>
          <w:sz w:val="32"/>
          <w:szCs w:val="32"/>
        </w:rPr>
      </w:pPr>
      <w:r>
        <w:rPr>
          <w:rFonts w:hint="eastAsia" w:ascii="黑体" w:hAnsi="宋体" w:eastAsia="黑体" w:cs="黑体"/>
          <w:i w:val="0"/>
          <w:iCs w:val="0"/>
          <w:caps w:val="0"/>
          <w:color w:val="000000"/>
          <w:spacing w:val="0"/>
          <w:sz w:val="32"/>
          <w:szCs w:val="32"/>
        </w:rPr>
        <w:t>    五、政府政策支持及服务</w:t>
      </w:r>
    </w:p>
    <w:p>
      <w:pPr>
        <w:pStyle w:val="6"/>
        <w:keepNext w:val="0"/>
        <w:keepLines w:val="0"/>
        <w:widowControl/>
        <w:suppressLineNumbers w:val="0"/>
        <w:spacing w:before="0" w:beforeAutospacing="0" w:after="0" w:afterAutospacing="0" w:line="315" w:lineRule="atLeast"/>
        <w:ind w:left="0" w:right="0" w:firstLine="645"/>
        <w:rPr>
          <w:rFonts w:hint="default" w:ascii="sans-serif" w:hAnsi="sans-serif" w:eastAsia="sans-serif" w:cs="sans-serif"/>
          <w:i w:val="0"/>
          <w:iCs w:val="0"/>
          <w:caps w:val="0"/>
          <w:color w:val="000000"/>
          <w:spacing w:val="0"/>
          <w:sz w:val="32"/>
          <w:szCs w:val="32"/>
        </w:rPr>
      </w:pPr>
      <w:r>
        <w:rPr>
          <w:rFonts w:hint="default" w:ascii="仿宋_GB2312" w:hAnsi="sans-serif" w:eastAsia="仿宋_GB2312" w:cs="仿宋_GB2312"/>
          <w:i w:val="0"/>
          <w:iCs w:val="0"/>
          <w:caps w:val="0"/>
          <w:color w:val="000000"/>
          <w:spacing w:val="0"/>
          <w:sz w:val="32"/>
          <w:szCs w:val="32"/>
        </w:rPr>
        <w:t>政府可以提供的优惠政策的情况，如产业扶持基金、财政奖励或补贴、人才吸引政策、科技服务平台等；政府一站式审批服务，包括商务注册、税务办理、土地招拍挂的一般工作流程等；其它增值服务，如财务管理服务（审计、评估、咨询）、法律服务等。</w:t>
      </w:r>
    </w:p>
    <w:p>
      <w:pPr>
        <w:pStyle w:val="6"/>
        <w:keepNext w:val="0"/>
        <w:keepLines w:val="0"/>
        <w:widowControl/>
        <w:suppressLineNumbers w:val="0"/>
        <w:spacing w:before="0" w:beforeAutospacing="0" w:after="0" w:afterAutospacing="0" w:line="315" w:lineRule="atLeast"/>
        <w:ind w:left="0" w:right="0" w:firstLine="645"/>
        <w:outlineLvl w:val="0"/>
        <w:rPr>
          <w:rFonts w:hint="default" w:ascii="sans-serif" w:hAnsi="sans-serif" w:eastAsia="sans-serif" w:cs="sans-serif"/>
          <w:i w:val="0"/>
          <w:iCs w:val="0"/>
          <w:caps w:val="0"/>
          <w:color w:val="000000"/>
          <w:spacing w:val="0"/>
          <w:sz w:val="32"/>
          <w:szCs w:val="32"/>
        </w:rPr>
      </w:pPr>
      <w:bookmarkStart w:id="37" w:name="_Toc26316"/>
      <w:r>
        <w:rPr>
          <w:rFonts w:hint="eastAsia" w:ascii="黑体" w:hAnsi="宋体" w:eastAsia="黑体" w:cs="黑体"/>
          <w:i w:val="0"/>
          <w:iCs w:val="0"/>
          <w:caps w:val="0"/>
          <w:color w:val="000000"/>
          <w:spacing w:val="0"/>
          <w:sz w:val="32"/>
          <w:szCs w:val="32"/>
        </w:rPr>
        <w:t>六、联系方式</w:t>
      </w:r>
      <w:bookmarkEnd w:id="37"/>
    </w:p>
    <w:p>
      <w:pPr>
        <w:pStyle w:val="6"/>
        <w:keepNext w:val="0"/>
        <w:keepLines w:val="0"/>
        <w:widowControl/>
        <w:suppressLineNumbers w:val="0"/>
        <w:spacing w:before="0" w:beforeAutospacing="0" w:after="0" w:afterAutospacing="0" w:line="315" w:lineRule="atLeast"/>
        <w:ind w:left="0" w:right="0" w:firstLine="645"/>
        <w:rPr>
          <w:rFonts w:hint="default" w:ascii="sans-serif" w:hAnsi="sans-serif" w:eastAsia="sans-serif" w:cs="sans-serif"/>
          <w:i w:val="0"/>
          <w:iCs w:val="0"/>
          <w:caps w:val="0"/>
          <w:color w:val="000000"/>
          <w:spacing w:val="0"/>
          <w:sz w:val="32"/>
          <w:szCs w:val="32"/>
        </w:rPr>
      </w:pPr>
      <w:r>
        <w:rPr>
          <w:rFonts w:hint="default" w:ascii="仿宋_GB2312" w:hAnsi="sans-serif" w:eastAsia="仿宋_GB2312" w:cs="仿宋_GB2312"/>
          <w:i w:val="0"/>
          <w:iCs w:val="0"/>
          <w:caps w:val="0"/>
          <w:color w:val="000000"/>
          <w:spacing w:val="0"/>
          <w:sz w:val="32"/>
          <w:szCs w:val="32"/>
        </w:rPr>
        <w:t>联系人：王炳罡</w:t>
      </w:r>
      <w:r>
        <w:rPr>
          <w:rFonts w:hint="eastAsia" w:ascii="宋体" w:hAnsi="宋体" w:eastAsia="宋体" w:cs="宋体"/>
          <w:i w:val="0"/>
          <w:iCs w:val="0"/>
          <w:caps w:val="0"/>
          <w:color w:val="000000"/>
          <w:spacing w:val="0"/>
          <w:sz w:val="32"/>
          <w:szCs w:val="32"/>
        </w:rPr>
        <w:t>     </w:t>
      </w:r>
    </w:p>
    <w:p>
      <w:pPr>
        <w:pStyle w:val="6"/>
        <w:keepNext w:val="0"/>
        <w:keepLines w:val="0"/>
        <w:widowControl/>
        <w:suppressLineNumbers w:val="0"/>
        <w:spacing w:before="0" w:beforeAutospacing="0" w:after="0" w:afterAutospacing="0" w:line="315" w:lineRule="atLeast"/>
        <w:ind w:left="0" w:right="0" w:firstLine="645"/>
        <w:rPr>
          <w:rFonts w:hint="default" w:ascii="sans-serif" w:hAnsi="sans-serif" w:eastAsia="sans-serif" w:cs="sans-serif"/>
          <w:i w:val="0"/>
          <w:iCs w:val="0"/>
          <w:caps w:val="0"/>
          <w:color w:val="000000"/>
          <w:spacing w:val="0"/>
          <w:sz w:val="32"/>
          <w:szCs w:val="32"/>
        </w:rPr>
      </w:pPr>
      <w:r>
        <w:rPr>
          <w:rFonts w:hint="default" w:ascii="仿宋_GB2312" w:hAnsi="sans-serif" w:eastAsia="仿宋_GB2312" w:cs="仿宋_GB2312"/>
          <w:i w:val="0"/>
          <w:iCs w:val="0"/>
          <w:caps w:val="0"/>
          <w:color w:val="000000"/>
          <w:spacing w:val="0"/>
          <w:sz w:val="32"/>
          <w:szCs w:val="32"/>
        </w:rPr>
        <w:t>联系电话：</w:t>
      </w:r>
      <w:r>
        <w:rPr>
          <w:rFonts w:hint="eastAsia" w:ascii="宋体" w:hAnsi="宋体" w:eastAsia="宋体" w:cs="宋体"/>
          <w:i w:val="0"/>
          <w:iCs w:val="0"/>
          <w:caps w:val="0"/>
          <w:color w:val="000000"/>
          <w:spacing w:val="0"/>
          <w:sz w:val="32"/>
          <w:szCs w:val="32"/>
        </w:rPr>
        <w:t>18888359231</w:t>
      </w:r>
    </w:p>
    <w:p>
      <w:pPr>
        <w:pStyle w:val="6"/>
        <w:keepNext w:val="0"/>
        <w:keepLines w:val="0"/>
        <w:widowControl/>
        <w:suppressLineNumbers w:val="0"/>
        <w:spacing w:before="0" w:beforeAutospacing="0" w:after="0" w:afterAutospacing="0" w:line="315" w:lineRule="atLeast"/>
        <w:ind w:left="0" w:right="0" w:firstLine="645"/>
        <w:rPr>
          <w:rFonts w:hint="default" w:ascii="sans-serif" w:hAnsi="sans-serif" w:eastAsia="sans-serif" w:cs="sans-serif"/>
          <w:i w:val="0"/>
          <w:iCs w:val="0"/>
          <w:caps w:val="0"/>
          <w:color w:val="000000"/>
          <w:spacing w:val="0"/>
          <w:sz w:val="32"/>
          <w:szCs w:val="32"/>
        </w:rPr>
      </w:pPr>
      <w:r>
        <w:rPr>
          <w:rFonts w:hint="default" w:ascii="仿宋_GB2312" w:hAnsi="sans-serif" w:eastAsia="仿宋_GB2312" w:cs="仿宋_GB2312"/>
          <w:i w:val="0"/>
          <w:iCs w:val="0"/>
          <w:caps w:val="0"/>
          <w:color w:val="000000"/>
          <w:spacing w:val="0"/>
          <w:sz w:val="32"/>
          <w:szCs w:val="32"/>
        </w:rPr>
        <w:t>电子邮箱：</w:t>
      </w:r>
      <w:r>
        <w:rPr>
          <w:rFonts w:hint="eastAsia" w:ascii="宋体" w:hAnsi="宋体" w:eastAsia="宋体" w:cs="宋体"/>
          <w:i w:val="0"/>
          <w:iCs w:val="0"/>
          <w:caps w:val="0"/>
          <w:color w:val="000000"/>
          <w:spacing w:val="0"/>
          <w:sz w:val="32"/>
          <w:szCs w:val="32"/>
        </w:rPr>
        <w:t>wangbinggang@lkgroup2018.com</w:t>
      </w:r>
    </w:p>
    <w:p>
      <w:pPr>
        <w:rPr>
          <w:sz w:val="32"/>
          <w:szCs w:val="32"/>
        </w:rPr>
      </w:pPr>
    </w:p>
    <w:sectPr>
      <w:footerReference r:id="rId3" w:type="default"/>
      <w:pgSz w:w="11906" w:h="16838"/>
      <w:pgMar w:top="1417" w:right="1417" w:bottom="1417" w:left="1417" w:header="851" w:footer="992" w:gutter="0"/>
      <w:pgNumType w:fmt="decimal"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方正小标宋简体">
    <w:altName w:val="黑体"/>
    <w:panose1 w:val="00000000000000000000"/>
    <w:charset w:val="00"/>
    <w:family w:val="auto"/>
    <w:pitch w:val="default"/>
    <w:sig w:usb0="00000000" w:usb1="00000000" w:usb2="00000000" w:usb3="00000000" w:csb0="00000000"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sans-serif">
    <w:altName w:val="玉米-盛夏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玉米-盛夏体">
    <w:panose1 w:val="02000600000000000000"/>
    <w:charset w:val="80"/>
    <w:family w:val="auto"/>
    <w:pitch w:val="default"/>
    <w:sig w:usb0="80000283" w:usb1="09D76CF8"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30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BuI3ve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HBuI3veAgAAJgYAAA4AAAAAAAAAAQAgAAAAHwEAAGRycy9lMm9Eb2MueG1sUEsF&#10;BgAAAAAGAAYAWQEAAG8GAAAAAA==&#10;">
              <v:fill on="f" focussize="0,0"/>
              <v:stroke on="f" weight="0.5pt"/>
              <v:imagedata o:title=""/>
              <o:lock v:ext="edit" aspectratio="f"/>
              <v:textbox inset="0mm,0mm,0mm,0mm" style="mso-fit-shape-to-text:t;">
                <w:txbxContent>
                  <w:p>
                    <w:pPr>
                      <w:pStyle w:val="4"/>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30</w:t>
                    </w:r>
                    <w:r>
                      <w:fldChar w:fldCharType="end"/>
                    </w:r>
                    <w: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2E128F9"/>
    <w:rsid w:val="168F3AB4"/>
    <w:rsid w:val="3CF342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3">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8">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0"/>
    <w:rPr>
      <w:b/>
    </w:rPr>
  </w:style>
  <w:style w:type="character" w:styleId="10">
    <w:name w:val="Hyperlink"/>
    <w:basedOn w:val="8"/>
    <w:uiPriority w:val="0"/>
    <w:rPr>
      <w:color w:val="0000FF"/>
      <w:u w:val="single"/>
    </w:rPr>
  </w:style>
  <w:style w:type="paragraph" w:customStyle="1" w:styleId="11">
    <w:name w:val="WPSOffice手动目录 1"/>
    <w:uiPriority w:val="0"/>
    <w:pPr>
      <w:ind w:leftChars="0"/>
    </w:pPr>
    <w:rPr>
      <w:sz w:val="20"/>
      <w:szCs w:val="20"/>
    </w:rPr>
  </w:style>
  <w:style w:type="paragraph" w:customStyle="1" w:styleId="12">
    <w:name w:val="WPSOffice手动目录 2"/>
    <w:uiPriority w:val="0"/>
    <w:pPr>
      <w:ind w:leftChars="20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hyperlink" Target="http://www.jinan.gov.cn/jcms/jcms_files/jcms1/web45/site/picture/0/e6632146e561455190096313a2810c45.jpg" TargetMode="External"/><Relationship Id="rId8" Type="http://schemas.openxmlformats.org/officeDocument/2006/relationships/image" Target="media/image2.jpeg"/><Relationship Id="rId7" Type="http://schemas.openxmlformats.org/officeDocument/2006/relationships/hyperlink" Target="http://www.jinan.gov.cn/jcms/jcms_files/jcms1/web45/site/picture/0/8ecced28cdf2485796bc274a023b399e.jpg" TargetMode="External"/><Relationship Id="rId6" Type="http://schemas.openxmlformats.org/officeDocument/2006/relationships/image" Target="media/image1.png"/><Relationship Id="rId57" Type="http://schemas.openxmlformats.org/officeDocument/2006/relationships/fontTable" Target="fontTable.xml"/><Relationship Id="rId56" Type="http://schemas.openxmlformats.org/officeDocument/2006/relationships/customXml" Target="../customXml/item1.xml"/><Relationship Id="rId55" Type="http://schemas.openxmlformats.org/officeDocument/2006/relationships/image" Target="media/image26.png"/><Relationship Id="rId54" Type="http://schemas.openxmlformats.org/officeDocument/2006/relationships/hyperlink" Target="http://www.jinan.gov.cn/jcms/jcms_files/jcms1/web45/site/picture/0/376ff31373004b288b957c6c99e73e89.png" TargetMode="External"/><Relationship Id="rId53" Type="http://schemas.openxmlformats.org/officeDocument/2006/relationships/image" Target="media/image25.png"/><Relationship Id="rId52" Type="http://schemas.openxmlformats.org/officeDocument/2006/relationships/hyperlink" Target="http://www.jinan.gov.cn/jcms/jcms_files/jcms1/web45/site/picture/0/451e38c7e5cc40adbbf84e38c2f59da6.png" TargetMode="External"/><Relationship Id="rId51" Type="http://schemas.openxmlformats.org/officeDocument/2006/relationships/image" Target="media/image24.jpeg"/><Relationship Id="rId50" Type="http://schemas.openxmlformats.org/officeDocument/2006/relationships/hyperlink" Target="http://www.jinan.gov.cn/jcms/jcms_files/jcms1/web45/site/picture/0/b79902b335f345aba2c271893426b4f3.jpg" TargetMode="External"/><Relationship Id="rId5" Type="http://schemas.openxmlformats.org/officeDocument/2006/relationships/hyperlink" Target="http://www.jinan.gov.cn/jcms/jcms_files/jcms1/web45/site/picture/0/80c39b859f3744b7913ecb81df8ddf14.png" TargetMode="External"/><Relationship Id="rId49" Type="http://schemas.openxmlformats.org/officeDocument/2006/relationships/image" Target="media/image23.png"/><Relationship Id="rId48" Type="http://schemas.openxmlformats.org/officeDocument/2006/relationships/image" Target="media/image22.png"/><Relationship Id="rId47" Type="http://schemas.openxmlformats.org/officeDocument/2006/relationships/hyperlink" Target="http://www.jinan.gov.cn/jcms/jcms_files/jcms1/web45/site/picture/0/c1923637f4554399a6d78e71a1c5d60e.png" TargetMode="External"/><Relationship Id="rId46" Type="http://schemas.openxmlformats.org/officeDocument/2006/relationships/image" Target="media/image21.jpeg"/><Relationship Id="rId45" Type="http://schemas.openxmlformats.org/officeDocument/2006/relationships/hyperlink" Target="http://www.jinan.gov.cn/jcms/jcms_files/jcms1/web45/site/picture/0/aa27b069d8314caab49d1dfefc232e40.jpg" TargetMode="External"/><Relationship Id="rId44" Type="http://schemas.openxmlformats.org/officeDocument/2006/relationships/image" Target="media/image20.png"/><Relationship Id="rId43" Type="http://schemas.openxmlformats.org/officeDocument/2006/relationships/hyperlink" Target="http://www.jinan.gov.cn/jcms/jcms_files/jcms1/web45/site/picture/0/ebed3d53476c4d66aa6090f5204f18cf.png" TargetMode="External"/><Relationship Id="rId42" Type="http://schemas.openxmlformats.org/officeDocument/2006/relationships/image" Target="media/image19.jpeg"/><Relationship Id="rId41" Type="http://schemas.openxmlformats.org/officeDocument/2006/relationships/hyperlink" Target="http://www.jinan.gov.cn/jcms/jcms_files/jcms1/web45/site/picture/0/83f7c5c4102f40d09bca4895d937bfd6.jpg" TargetMode="External"/><Relationship Id="rId40" Type="http://schemas.openxmlformats.org/officeDocument/2006/relationships/image" Target="media/image18.jpeg"/><Relationship Id="rId4" Type="http://schemas.openxmlformats.org/officeDocument/2006/relationships/theme" Target="theme/theme1.xml"/><Relationship Id="rId39" Type="http://schemas.openxmlformats.org/officeDocument/2006/relationships/hyperlink" Target="http://www.jinan.gov.cn/jcms/jcms_files/jcms1/web45/site/picture/0/33aae46e555545a2a31a5af6bec02031.jpg" TargetMode="External"/><Relationship Id="rId38" Type="http://schemas.openxmlformats.org/officeDocument/2006/relationships/image" Target="media/image17.jpeg"/><Relationship Id="rId37" Type="http://schemas.openxmlformats.org/officeDocument/2006/relationships/hyperlink" Target="http://www.jinan.gov.cn/jcms/jcms_files/jcms1/web45/site/picture/0/400c6a67f8094f2396a18882296a6162.jpg" TargetMode="External"/><Relationship Id="rId36" Type="http://schemas.openxmlformats.org/officeDocument/2006/relationships/image" Target="media/image16.jpeg"/><Relationship Id="rId35" Type="http://schemas.openxmlformats.org/officeDocument/2006/relationships/hyperlink" Target="http://www.jinan.gov.cn/jcms/jcms_files/jcms1/web45/site/picture/0/e7b69927c0d4448d85190f07592d67d7.jpg" TargetMode="External"/><Relationship Id="rId34" Type="http://schemas.openxmlformats.org/officeDocument/2006/relationships/image" Target="media/image15.png"/><Relationship Id="rId33" Type="http://schemas.openxmlformats.org/officeDocument/2006/relationships/hyperlink" Target="http://www.jinan.gov.cn/jcms/jcms_files/jcms1/web45/site/picture/0/503344ceb63a48728672afed6b62220f.png" TargetMode="External"/><Relationship Id="rId32" Type="http://schemas.openxmlformats.org/officeDocument/2006/relationships/image" Target="media/image14.png"/><Relationship Id="rId31" Type="http://schemas.openxmlformats.org/officeDocument/2006/relationships/hyperlink" Target="http://www.jinan.gov.cn/jcms/jcms_files/jcms1/web45/site/picture/0/c9327c649677423988bc9db03a251cec.png" TargetMode="External"/><Relationship Id="rId30" Type="http://schemas.openxmlformats.org/officeDocument/2006/relationships/image" Target="media/image13.jpeg"/><Relationship Id="rId3" Type="http://schemas.openxmlformats.org/officeDocument/2006/relationships/footer" Target="footer1.xml"/><Relationship Id="rId29" Type="http://schemas.openxmlformats.org/officeDocument/2006/relationships/hyperlink" Target="http://www.jinan.gov.cn/jcms/jcms_files/jcms1/web45/site/picture/0/b097c235f93049b28d281fc87084a442.jpg" TargetMode="External"/><Relationship Id="rId28" Type="http://schemas.openxmlformats.org/officeDocument/2006/relationships/image" Target="media/image12.jpeg"/><Relationship Id="rId27" Type="http://schemas.openxmlformats.org/officeDocument/2006/relationships/hyperlink" Target="http://www.jinan.gov.cn/jcms/jcms_files/jcms1/web45/site/picture/0/9ed770bd77c24d7f879d840348e79708.jpg" TargetMode="External"/><Relationship Id="rId26" Type="http://schemas.openxmlformats.org/officeDocument/2006/relationships/image" Target="media/image11.jpeg"/><Relationship Id="rId25" Type="http://schemas.openxmlformats.org/officeDocument/2006/relationships/hyperlink" Target="http://www.jinan.gov.cn/jcms/jcms_files/jcms1/web45/site/picture/0/24402902f47f4ef590f6627caee75d86.jpg" TargetMode="External"/><Relationship Id="rId24" Type="http://schemas.openxmlformats.org/officeDocument/2006/relationships/image" Target="media/image10.jpeg"/><Relationship Id="rId23" Type="http://schemas.openxmlformats.org/officeDocument/2006/relationships/hyperlink" Target="http://www.jinan.gov.cn/jcms/jcms_files/jcms1/web45/site/picture/0/d9b9c9f02b4d40eab24cf8624f5a3c0a.jpg" TargetMode="External"/><Relationship Id="rId22" Type="http://schemas.openxmlformats.org/officeDocument/2006/relationships/image" Target="media/image9.jpeg"/><Relationship Id="rId21" Type="http://schemas.openxmlformats.org/officeDocument/2006/relationships/hyperlink" Target="http://www.jinan.gov.cn/jcms/jcms_files/jcms1/web45/site/picture/0/17b0cedf015747fdb7ca075d231db905.jpg" TargetMode="External"/><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hyperlink" Target="http://www.jinan.gov.cn/jcms/jcms_files/jcms1/web45/site/picture/0/b21b110f9c3744f2b02b4f74a676e973.jpg" TargetMode="External"/><Relationship Id="rId18" Type="http://schemas.openxmlformats.org/officeDocument/2006/relationships/image" Target="media/image7.jpeg"/><Relationship Id="rId17" Type="http://schemas.openxmlformats.org/officeDocument/2006/relationships/hyperlink" Target="http://www.jinan.gov.cn/jcms/jcms_files/jcms1/web45/site/picture/0/b301f402de654c9fa52662fdd0add229.jpg" TargetMode="External"/><Relationship Id="rId16" Type="http://schemas.openxmlformats.org/officeDocument/2006/relationships/image" Target="media/image6.jpeg"/><Relationship Id="rId15" Type="http://schemas.openxmlformats.org/officeDocument/2006/relationships/hyperlink" Target="http://www.jinan.gov.cn/jcms/jcms_files/jcms1/web45/site/picture/0/b9b687cbe8b34130926c490824eb8e7f.jpg" TargetMode="External"/><Relationship Id="rId14" Type="http://schemas.openxmlformats.org/officeDocument/2006/relationships/image" Target="media/image5.jpeg"/><Relationship Id="rId13" Type="http://schemas.openxmlformats.org/officeDocument/2006/relationships/hyperlink" Target="http://www.jinan.gov.cn/jcms/jcms_files/jcms1/web45/site/picture/0/29491e4cb11047dfa93350ae79821f05.jpg" TargetMode="External"/><Relationship Id="rId12" Type="http://schemas.openxmlformats.org/officeDocument/2006/relationships/image" Target="media/image4.png"/><Relationship Id="rId11" Type="http://schemas.openxmlformats.org/officeDocument/2006/relationships/hyperlink" Target="http://www.jinan.gov.cn/jcms/jcms_files/jcms1/web45/site/picture/0/4736df4e35eb4f2e9fbdd147dd87637a.png" TargetMode="External"/><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2021-09-26T06:03:00Z</dcterms:created>
  <dc:creator>rmw</dc:creator>
  <cp:lastModifiedBy>未来。</cp:lastModifiedBy>
  <dcterms:modified xsi:type="dcterms:W3CDTF">2022-01-19T08:34:13Z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81967C3315BF43C5AA59C72F8537F505</vt:lpwstr>
  </property>
</Properties>
</file>